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1200"/>
      </w:pPr>
    </w:p>
    <w:p>
      <w:pPr>
        <w:spacing w:after="40"/>
        <w:jc w:val="center"/>
      </w:pPr>
      <w:r>
        <w:rPr>
          <w:rFonts w:ascii="Calibri" w:cs="Calibri" w:eastAsia="Calibri" w:hAnsi="Calibri"/>
          <w:b/>
          <w:bCs/>
          <w:color w:val="0F172A"/>
          <w:sz w:val="72"/>
          <w:szCs w:val="72"/>
        </w:rPr>
        <w:t xml:space="preserve">LogSheet</w:t>
      </w:r>
    </w:p>
    <w:p>
      <w:pPr>
        <w:spacing w:after="200"/>
        <w:jc w:val="center"/>
      </w:pPr>
      <w:r>
        <w:rPr>
          <w:rFonts w:ascii="Calibri" w:cs="Calibri" w:eastAsia="Calibri" w:hAnsi="Calibri"/>
          <w:color w:val="2563EB"/>
          <w:sz w:val="24"/>
          <w:szCs w:val="24"/>
        </w:rPr>
        <w:t xml:space="preserve">Swiss-made timesheet &amp; team management</w:t>
      </w:r>
    </w:p>
    <w:p>
      <w:pPr>
        <w:pBdr>
          <w:top w:val="single" w:color="E2E8F0" w:sz="8" w:space="10"/>
          <w:bottom w:val="single" w:color="E2E8F0" w:sz="8" w:space="10"/>
        </w:pBdr>
        <w:spacing w:after="40" w:before="40"/>
        <w:jc w:val="center"/>
      </w:pPr>
      <w:r>
        <w:rPr>
          <w:rFonts w:ascii="Calibri" w:cs="Calibri" w:eastAsia="Calibri" w:hAnsi="Calibri"/>
          <w:b/>
          <w:bCs/>
          <w:color w:val="475569"/>
          <w:spacing w:val="20"/>
          <w:sz w:val="22"/>
          <w:szCs w:val="22"/>
        </w:rPr>
        <w:t xml:space="preserve">PRESS FACT SHEET &amp; PRODUCT PRESENTATION</w:t>
      </w:r>
    </w:p>
    <w:p>
      <w:pPr>
        <w:spacing w:before="200"/>
        <w:jc w:val="center"/>
      </w:pPr>
      <w:r>
        <w:rPr>
          <w:rFonts w:ascii="Calibri" w:cs="Calibri" w:eastAsia="Calibri" w:hAnsi="Calibri"/>
          <w:i/>
          <w:iCs/>
          <w:color w:val="94A3B8"/>
          <w:sz w:val="19"/>
          <w:szCs w:val="19"/>
        </w:rPr>
        <w:t xml:space="preserve">Prepared for journalists and media · English · Updated 8 July 2026</w:t>
      </w:r>
    </w:p>
    <w:p>
      <w:pPr>
        <w:spacing w:before="60"/>
        <w:jc w:val="center"/>
      </w:pPr>
      <w:r>
        <w:rPr>
          <w:rFonts w:ascii="Calibri" w:cs="Calibri" w:eastAsia="Calibri" w:hAnsi="Calibri"/>
          <w:color w:val="94A3B8"/>
          <w:sz w:val="19"/>
          <w:szCs w:val="19"/>
        </w:rPr>
        <w:t xml:space="preserve">logsheet.ch · info@logsheet.ch</w:t>
      </w:r>
    </w:p>
    <w:p>
      <w:r>
        <w:br w:type="page"/>
      </w:r>
    </w:p>
    <w:p>
      <w:pPr>
        <w:pStyle w:val="Heading1"/>
        <w:pBdr>
          <w:bottom w:val="single" w:color="E2E8F0" w:sz="8" w:space="6"/>
        </w:pBdr>
        <w:spacing w:after="140" w:before="360"/>
      </w:pPr>
      <w:r>
        <w:rPr>
          <w:rFonts w:ascii="Calibri" w:cs="Calibri" w:eastAsia="Calibri" w:hAnsi="Calibri"/>
          <w:b/>
          <w:bCs/>
          <w:color w:val="2563EB"/>
          <w:sz w:val="30"/>
          <w:szCs w:val="30"/>
        </w:rPr>
        <w:t xml:space="preserve">One line</w:t>
      </w:r>
    </w:p>
    <w:p>
      <w:pPr>
        <w:pBdr>
          <w:left w:val="single" w:color="2563EB" w:sz="24" w:space="12"/>
        </w:pBdr>
        <w:shd w:fill="EFF6FF" w:val="clear"/>
        <w:spacing w:after="160" w:line="300"/>
      </w:pPr>
      <w:r>
        <w:rPr>
          <w:rFonts w:ascii="Calibri" w:cs="Calibri" w:eastAsia="Calibri" w:hAnsi="Calibri"/>
          <w:b/>
          <w:bCs/>
          <w:color w:val="0F172A"/>
          <w:sz w:val="24"/>
          <w:szCs w:val="24"/>
        </w:rPr>
        <w:t xml:space="preserve">LogSheet is a simple, Swiss-made web app for small and mid-size companies to track working time, manage holidays and absences, monitor client and project hours, and run HR and billing overviews — with one-click Excel export.</w:t>
      </w:r>
    </w:p>
    <w:p>
      <w:pPr>
        <w:pStyle w:val="Heading1"/>
        <w:pBdr>
          <w:bottom w:val="single" w:color="E2E8F0" w:sz="8" w:space="6"/>
        </w:pBdr>
        <w:spacing w:after="140" w:before="360"/>
      </w:pPr>
      <w:r>
        <w:rPr>
          <w:rFonts w:ascii="Calibri" w:cs="Calibri" w:eastAsia="Calibri" w:hAnsi="Calibri"/>
          <w:b/>
          <w:bCs/>
          <w:color w:val="2563EB"/>
          <w:sz w:val="30"/>
          <w:szCs w:val="30"/>
        </w:rPr>
        <w:t xml:space="preserve">Elevator pitch</w:t>
      </w:r>
    </w:p>
    <w:p>
      <w:pPr>
        <w:spacing w:after="140" w:line="276"/>
      </w:pPr>
      <w:r>
        <w:rPr>
          <w:rFonts w:ascii="Calibri" w:cs="Calibri" w:eastAsia="Calibri" w:hAnsi="Calibri"/>
          <w:color w:val="475569"/>
          <w:sz w:val="21"/>
          <w:szCs w:val="21"/>
        </w:rPr>
        <w:t xml:space="preserve">Most small companies still run their timesheets on scattered Excel files and their holiday requests on email. LogSheet replaces both with one clean web app: employees log hours in a simple daily grid, request leave in a click, and managers approve, analyse and export everything — including hours billed per client. It understands Swiss and DACH cantonal public holidays, works in four languages, and is free for any company that registers in 2026.</w:t>
      </w:r>
    </w:p>
    <w:p>
      <w:pPr>
        <w:pStyle w:val="Heading1"/>
        <w:pBdr>
          <w:bottom w:val="single" w:color="E2E8F0" w:sz="8" w:space="6"/>
        </w:pBdr>
        <w:spacing w:after="140" w:before="360"/>
      </w:pPr>
      <w:r>
        <w:rPr>
          <w:rFonts w:ascii="Calibri" w:cs="Calibri" w:eastAsia="Calibri" w:hAnsi="Calibri"/>
          <w:b/>
          <w:bCs/>
          <w:color w:val="2563EB"/>
          <w:sz w:val="30"/>
          <w:szCs w:val="30"/>
        </w:rPr>
        <w:t xml:space="preserve">The problem it solves</w:t>
      </w:r>
    </w:p>
    <w:p>
      <w:pPr>
        <w:spacing w:after="140" w:line="276"/>
      </w:pPr>
      <w:r>
        <w:rPr>
          <w:rFonts w:ascii="Calibri" w:cs="Calibri" w:eastAsia="Calibri" w:hAnsi="Calibri"/>
          <w:color w:val="475569"/>
          <w:sz w:val="21"/>
          <w:szCs w:val="21"/>
        </w:rPr>
        <w:t xml:space="preserve">Swiss SMEs of roughly 10–50 employees sit in an awkward gap. They are too big for a shared Excel sheet — hours, overtime, part-time percentages, vacation balances and cantonal holidays get messy fast — but too small, or too cost-conscious, for a full HR/ERP suite. Time tracking, absence management and client billing usually live in three different tools, or in no tool at all. The administrative burden lands on an owner or office manager who spends hours each month reconciling numbers by hand.</w:t>
      </w:r>
    </w:p>
    <w:p>
      <w:pPr>
        <w:spacing w:after="140" w:line="276"/>
      </w:pPr>
      <w:r>
        <w:rPr>
          <w:rFonts w:ascii="Calibri" w:cs="Calibri" w:eastAsia="Calibri" w:hAnsi="Calibri"/>
          <w:color w:val="475569"/>
          <w:sz w:val="21"/>
          <w:szCs w:val="21"/>
        </w:rPr>
        <w:t xml:space="preserve">LogSheet’s bet: give that person one focused app that covers the whole monthly cycle — log, approve, analyse, export — without the weight or price of an enterprise system.</w:t>
      </w:r>
    </w:p>
    <w:p>
      <w:pPr>
        <w:pStyle w:val="Heading1"/>
        <w:pBdr>
          <w:bottom w:val="single" w:color="E2E8F0" w:sz="8" w:space="6"/>
        </w:pBdr>
        <w:spacing w:after="140" w:before="360"/>
      </w:pPr>
      <w:r>
        <w:rPr>
          <w:rFonts w:ascii="Calibri" w:cs="Calibri" w:eastAsia="Calibri" w:hAnsi="Calibri"/>
          <w:b/>
          <w:bCs/>
          <w:color w:val="2563EB"/>
          <w:sz w:val="30"/>
          <w:szCs w:val="30"/>
        </w:rPr>
        <w:t xml:space="preserve">What LogSheet is</w:t>
      </w:r>
    </w:p>
    <w:p>
      <w:pPr>
        <w:spacing w:after="140" w:line="276"/>
      </w:pPr>
      <w:r>
        <w:rPr>
          <w:rFonts w:ascii="Calibri" w:cs="Calibri" w:eastAsia="Calibri" w:hAnsi="Calibri"/>
          <w:color w:val="475569"/>
          <w:sz w:val="21"/>
          <w:szCs w:val="21"/>
        </w:rPr>
        <w:t xml:space="preserve">A browser-based (SaaS) timesheet and team-management app. There is no software to install; each employee has a login, and companies are organised under a single admin area. It is built specifically around Swiss and DACH working-time conventions: target vs. actual hours, overtime carry-over, part-time percentages, cantonal public holidays, and a signature-ready monthly sheet.</w:t>
      </w:r>
    </w:p>
    <w:p>
      <w:pPr>
        <w:pStyle w:val="Heading1"/>
        <w:pBdr>
          <w:bottom w:val="single" w:color="E2E8F0" w:sz="8" w:space="6"/>
        </w:pBdr>
        <w:spacing w:after="140" w:before="360"/>
      </w:pPr>
      <w:r>
        <w:rPr>
          <w:rFonts w:ascii="Calibri" w:cs="Calibri" w:eastAsia="Calibri" w:hAnsi="Calibri"/>
          <w:b/>
          <w:bCs/>
          <w:color w:val="2563EB"/>
          <w:sz w:val="30"/>
          <w:szCs w:val="30"/>
        </w:rPr>
        <w:t xml:space="preserve">Who it’s for</w:t>
      </w:r>
    </w:p>
    <w:p>
      <w:pPr>
        <w:pStyle w:val="ListParagraph"/>
        <w:numPr>
          <w:ilvl w:val="0"/>
          <w:numId w:val="2"/>
        </w:numPr>
        <w:spacing w:after="60" w:line="268"/>
      </w:pPr>
      <w:r>
        <w:rPr>
          <w:rFonts w:ascii="Calibri" w:cs="Calibri" w:eastAsia="Calibri" w:hAnsi="Calibri"/>
          <w:color w:val="475569"/>
          <w:sz w:val="21"/>
          <w:szCs w:val="21"/>
        </w:rPr>
        <w:t xml:space="preserve">Owner-managed SMEs and PMEs, roughly 10–50 employees.</w:t>
      </w:r>
    </w:p>
    <w:p>
      <w:pPr>
        <w:pStyle w:val="ListParagraph"/>
        <w:numPr>
          <w:ilvl w:val="0"/>
          <w:numId w:val="2"/>
        </w:numPr>
        <w:spacing w:after="60" w:line="268"/>
      </w:pPr>
      <w:r>
        <w:rPr>
          <w:rFonts w:ascii="Calibri" w:cs="Calibri" w:eastAsia="Calibri" w:hAnsi="Calibri"/>
          <w:color w:val="475569"/>
          <w:sz w:val="21"/>
          <w:szCs w:val="21"/>
        </w:rPr>
        <w:t xml:space="preserve">Shift-based and field teams that track hours closely: trades and construction, care and health (Spitex, practices), hospitality and retail.</w:t>
      </w:r>
    </w:p>
    <w:p>
      <w:pPr>
        <w:pStyle w:val="ListParagraph"/>
        <w:numPr>
          <w:ilvl w:val="0"/>
          <w:numId w:val="2"/>
        </w:numPr>
        <w:spacing w:after="60" w:line="268"/>
      </w:pPr>
      <w:r>
        <w:rPr>
          <w:rFonts w:ascii="Calibri" w:cs="Calibri" w:eastAsia="Calibri" w:hAnsi="Calibri"/>
          <w:color w:val="475569"/>
          <w:sz w:val="21"/>
          <w:szCs w:val="21"/>
        </w:rPr>
        <w:t xml:space="preserve">Agencies and service firms that bill clients by the hour and need hours-per-client and utilisation figures.</w:t>
      </w:r>
    </w:p>
    <w:p>
      <w:pPr>
        <w:pStyle w:val="ListParagraph"/>
        <w:numPr>
          <w:ilvl w:val="0"/>
          <w:numId w:val="2"/>
        </w:numPr>
        <w:spacing w:after="60" w:line="268"/>
      </w:pPr>
      <w:r>
        <w:rPr>
          <w:rFonts w:ascii="Calibri" w:cs="Calibri" w:eastAsia="Calibri" w:hAnsi="Calibri"/>
          <w:color w:val="475569"/>
          <w:sz w:val="21"/>
          <w:szCs w:val="21"/>
        </w:rPr>
        <w:t xml:space="preserve">Organisations running several companies under one roof — separated data, one overview.</w:t>
      </w:r>
    </w:p>
    <w:p>
      <w:pPr>
        <w:pStyle w:val="Heading1"/>
        <w:pBdr>
          <w:bottom w:val="single" w:color="E2E8F0" w:sz="8" w:space="6"/>
        </w:pBdr>
        <w:spacing w:after="140" w:before="360"/>
      </w:pPr>
      <w:r>
        <w:rPr>
          <w:rFonts w:ascii="Calibri" w:cs="Calibri" w:eastAsia="Calibri" w:hAnsi="Calibri"/>
          <w:b/>
          <w:bCs/>
          <w:color w:val="2563EB"/>
          <w:sz w:val="30"/>
          <w:szCs w:val="30"/>
        </w:rPr>
        <w:t xml:space="preserve">Feature walkthrough</w:t>
      </w:r>
    </w:p>
    <w:p>
      <w:pPr>
        <w:pStyle w:val="Heading2"/>
        <w:spacing w:after="80" w:before="220"/>
      </w:pPr>
      <w:r>
        <w:rPr>
          <w:rFonts w:ascii="Calibri" w:cs="Calibri" w:eastAsia="Calibri" w:hAnsi="Calibri"/>
          <w:b/>
          <w:bCs/>
          <w:color w:val="0F172A"/>
          <w:sz w:val="23"/>
          <w:szCs w:val="23"/>
        </w:rPr>
        <w:t xml:space="preserve">1. Daily timesheet ("My LogSheet")</w:t>
      </w:r>
    </w:p>
    <w:p>
      <w:pPr>
        <w:spacing w:after="140" w:line="276"/>
      </w:pPr>
      <w:r>
        <w:rPr>
          <w:rFonts w:ascii="Calibri" w:cs="Calibri" w:eastAsia="Calibri" w:hAnsi="Calibri"/>
          <w:color w:val="475569"/>
          <w:sz w:val="21"/>
          <w:szCs w:val="21"/>
        </w:rPr>
        <w:t xml:space="preserve">A simple monthly grid. Morning and afternoon punch points with an automatic lunch break; actual vs. target hours and overtime/undertime are calculated for the user. Each day can be flagged office / home office / away with one click, and a "copy Monday" action fills the rest of the week instantly. Categories per day: Work, Vacation, Compensation, Sick Leave. The month closes with control/target/difference totals and signature lines (employee, supervisor, management).</w:t>
      </w:r>
    </w:p>
    <w:p>
      <w:pPr>
        <w:pStyle w:val="Heading2"/>
        <w:spacing w:after="80" w:before="220"/>
      </w:pPr>
      <w:r>
        <w:rPr>
          <w:rFonts w:ascii="Calibri" w:cs="Calibri" w:eastAsia="Calibri" w:hAnsi="Calibri"/>
          <w:b/>
          <w:bCs/>
          <w:color w:val="0F172A"/>
          <w:sz w:val="23"/>
          <w:szCs w:val="23"/>
        </w:rPr>
        <w:t xml:space="preserve">2. Holidays &amp; absences</w:t>
      </w:r>
    </w:p>
    <w:p>
      <w:pPr>
        <w:spacing w:after="140" w:line="276"/>
      </w:pPr>
      <w:r>
        <w:rPr>
          <w:rFonts w:ascii="Calibri" w:cs="Calibri" w:eastAsia="Calibri" w:hAnsi="Calibri"/>
          <w:color w:val="475569"/>
          <w:sz w:val="21"/>
          <w:szCs w:val="21"/>
        </w:rPr>
        <w:t xml:space="preserve">Employees request leave in one click straight from the timesheet. Managers approve or reject with a comment. A vacation-control panel shows allowance / taken / remaining, and an overtime control shows carry-over plus the current month’s balance.</w:t>
      </w:r>
    </w:p>
    <w:p>
      <w:pPr>
        <w:pStyle w:val="Heading2"/>
        <w:spacing w:after="80" w:before="220"/>
      </w:pPr>
      <w:r>
        <w:rPr>
          <w:rFonts w:ascii="Calibri" w:cs="Calibri" w:eastAsia="Calibri" w:hAnsi="Calibri"/>
          <w:b/>
          <w:bCs/>
          <w:color w:val="0F172A"/>
          <w:sz w:val="23"/>
          <w:szCs w:val="23"/>
        </w:rPr>
        <w:t xml:space="preserve">3. Team view</w:t>
      </w:r>
    </w:p>
    <w:p>
      <w:pPr>
        <w:spacing w:after="140" w:line="276"/>
      </w:pPr>
      <w:r>
        <w:rPr>
          <w:rFonts w:ascii="Calibri" w:cs="Calibri" w:eastAsia="Calibri" w:hAnsi="Calibri"/>
          <w:color w:val="475569"/>
          <w:sz w:val="21"/>
          <w:szCs w:val="21"/>
        </w:rPr>
        <w:t xml:space="preserve">A yearly absence calendar — condensed quarterly grids (Q1–Q4) for all employees — filterable by department. The legend covers confirmed and provisional vacation, compensation, sick leave, public holidays, team events, weekend work, overtime, scheduled days off, home office and out-of-office. Hovering a cell shows remarks and hour segments. Cantonal settings automatically map the correct regional public holidays for each employee.</w:t>
      </w:r>
    </w:p>
    <w:p>
      <w:pPr>
        <w:pStyle w:val="Heading2"/>
        <w:spacing w:after="80" w:before="220"/>
      </w:pPr>
      <w:r>
        <w:rPr>
          <w:rFonts w:ascii="Calibri" w:cs="Calibri" w:eastAsia="Calibri" w:hAnsi="Calibri"/>
          <w:b/>
          <w:bCs/>
          <w:color w:val="0F172A"/>
          <w:sz w:val="23"/>
          <w:szCs w:val="23"/>
        </w:rPr>
        <w:t xml:space="preserve">4. Customer Work (client &amp; project time)</w:t>
      </w:r>
    </w:p>
    <w:p>
      <w:pPr>
        <w:spacing w:after="140" w:line="276"/>
      </w:pPr>
      <w:r>
        <w:rPr>
          <w:rFonts w:ascii="Calibri" w:cs="Calibri" w:eastAsia="Calibri" w:hAnsi="Calibri"/>
          <w:color w:val="475569"/>
          <w:sz w:val="21"/>
          <w:szCs w:val="21"/>
        </w:rPr>
        <w:t xml:space="preserve">A second dashboard where staff log time on clients and projects. Each line can be marked billable; the view shows a monthly total plus "Hours by Client" and "Hours by Project" breakdowns, and a fast quick-entry grid (Date / Project / Client / From / To / Duration / Billable / Note). Admins enable this per employee.</w:t>
      </w:r>
    </w:p>
    <w:p>
      <w:pPr>
        <w:pStyle w:val="Heading2"/>
        <w:spacing w:after="80" w:before="220"/>
      </w:pPr>
      <w:r>
        <w:rPr>
          <w:rFonts w:ascii="Calibri" w:cs="Calibri" w:eastAsia="Calibri" w:hAnsi="Calibri"/>
          <w:b/>
          <w:bCs/>
          <w:color w:val="0F172A"/>
          <w:sz w:val="23"/>
          <w:szCs w:val="23"/>
        </w:rPr>
        <w:t xml:space="preserve">5. HR &amp; Accounting overview (admin analytics)</w:t>
      </w:r>
    </w:p>
    <w:p>
      <w:pPr>
        <w:spacing w:after="140" w:line="276"/>
      </w:pPr>
      <w:r>
        <w:rPr>
          <w:rFonts w:ascii="Calibri" w:cs="Calibri" w:eastAsia="Calibri" w:hAnsi="Calibri"/>
          <w:color w:val="475569"/>
          <w:sz w:val="21"/>
          <w:szCs w:val="21"/>
        </w:rPr>
        <w:t xml:space="preserve">A genuine reporting dashboard: per-employee KPI cards (worked vs. target, overtime/undertime net balance, vacation remaining, home-office %, sick rate, compensation), a monthly trend chart, a full employee summary table (age, years of service, canton, employment %, vacation, worked, difference, sickness, compensation, home-office days), and Export Year to Excel.</w:t>
      </w:r>
    </w:p>
    <w:p>
      <w:pPr>
        <w:pStyle w:val="Heading2"/>
        <w:spacing w:after="80" w:before="220"/>
      </w:pPr>
      <w:r>
        <w:rPr>
          <w:rFonts w:ascii="Calibri" w:cs="Calibri" w:eastAsia="Calibri" w:hAnsi="Calibri"/>
          <w:b/>
          <w:bCs/>
          <w:color w:val="0F172A"/>
          <w:sz w:val="23"/>
          <w:szCs w:val="23"/>
        </w:rPr>
        <w:t xml:space="preserve">6. Billing &amp; accounting (admin)</w:t>
      </w:r>
    </w:p>
    <w:p>
      <w:pPr>
        <w:spacing w:after="140" w:line="276"/>
      </w:pPr>
      <w:r>
        <w:rPr>
          <w:rFonts w:ascii="Calibri" w:cs="Calibri" w:eastAsia="Calibri" w:hAnsi="Calibri"/>
          <w:color w:val="475569"/>
          <w:sz w:val="21"/>
          <w:szCs w:val="21"/>
        </w:rPr>
        <w:t xml:space="preserve">A company-wide view across all employees, over any range (month / quarter / year): total vs. billable hours, utilisation % (billable ÷ total), revenue in CHF, entries by client and project, accounts receivable, and hours by client / project / employee, with an export report. A default currency (CHF, EUR, USD…) and a VAT/tax rate are configurable and applied to billable exports.</w:t>
      </w:r>
    </w:p>
    <w:p>
      <w:pPr>
        <w:pStyle w:val="Heading2"/>
        <w:spacing w:after="80" w:before="220"/>
      </w:pPr>
      <w:r>
        <w:rPr>
          <w:rFonts w:ascii="Calibri" w:cs="Calibri" w:eastAsia="Calibri" w:hAnsi="Calibri"/>
          <w:b/>
          <w:bCs/>
          <w:color w:val="0F172A"/>
          <w:sz w:val="23"/>
          <w:szCs w:val="23"/>
        </w:rPr>
        <w:t xml:space="preserve">7. Admin &amp; company management</w:t>
      </w:r>
    </w:p>
    <w:p>
      <w:pPr>
        <w:spacing w:after="140" w:line="276"/>
      </w:pPr>
      <w:r>
        <w:rPr>
          <w:rFonts w:ascii="Calibri" w:cs="Calibri" w:eastAsia="Calibri" w:hAnsi="Calibri"/>
          <w:color w:val="475569"/>
          <w:sz w:val="21"/>
          <w:szCs w:val="21"/>
        </w:rPr>
        <w:t xml:space="preserve">Add employees; set admin/user roles, departments, start/exit dates; configure employment percentage (100% down to 20%), annual vacation allowance, weekly schedule and multipliers, and historical carry-overs so a company can start mid-year. Per month, admins Export Excel, Archive Month (freeze), or Reset. A month becomes visible to the admin only after the employee validates it, keeping approved data clean. Company Settings hold time zone, default currency, VAT rate, a company logo for printed documents, custom sidebar links, self-registration by accepted email domain, and department definitions.</w:t>
      </w:r>
    </w:p>
    <w:p>
      <w:pPr>
        <w:pStyle w:val="Heading2"/>
        <w:spacing w:after="80" w:before="220"/>
      </w:pPr>
      <w:r>
        <w:rPr>
          <w:rFonts w:ascii="Calibri" w:cs="Calibri" w:eastAsia="Calibri" w:hAnsi="Calibri"/>
          <w:b/>
          <w:bCs/>
          <w:color w:val="0F172A"/>
          <w:sz w:val="23"/>
          <w:szCs w:val="23"/>
        </w:rPr>
        <w:t xml:space="preserve">8. Excel export, archives &amp; version history</w:t>
      </w:r>
    </w:p>
    <w:p>
      <w:pPr>
        <w:spacing w:after="140" w:line="276"/>
      </w:pPr>
      <w:r>
        <w:rPr>
          <w:rFonts w:ascii="Calibri" w:cs="Calibri" w:eastAsia="Calibri" w:hAnsi="Calibri"/>
          <w:color w:val="475569"/>
          <w:sz w:val="21"/>
          <w:szCs w:val="21"/>
        </w:rPr>
        <w:t xml:space="preserve">Monthly export uses real Excel formulas (not static numbers), includes overtime carry-over and holiday balance, and a signature-ready footer. Approved months freeze into an auditable archive. LogSheet also keeps weekly automatic snapshots and lets users save manual backups and restore an earlier version of a month.</w:t>
      </w:r>
    </w:p>
    <w:p>
      <w:pPr>
        <w:pStyle w:val="Heading2"/>
        <w:spacing w:after="80" w:before="220"/>
      </w:pPr>
      <w:r>
        <w:rPr>
          <w:rFonts w:ascii="Calibri" w:cs="Calibri" w:eastAsia="Calibri" w:hAnsi="Calibri"/>
          <w:b/>
          <w:bCs/>
          <w:color w:val="0F172A"/>
          <w:sz w:val="23"/>
          <w:szCs w:val="23"/>
        </w:rPr>
        <w:t xml:space="preserve">9. Quality-of-life</w:t>
      </w:r>
    </w:p>
    <w:p>
      <w:pPr>
        <w:spacing w:after="140" w:line="276"/>
      </w:pPr>
      <w:r>
        <w:rPr>
          <w:rFonts w:ascii="Calibri" w:cs="Calibri" w:eastAsia="Calibri" w:hAnsi="Calibri"/>
          <w:color w:val="475569"/>
          <w:sz w:val="21"/>
          <w:szCs w:val="21"/>
        </w:rPr>
        <w:t xml:space="preserve">Optional email reminders to fill the timesheet on chosen days and times (already-filled days are skipped); a floating clock window; four interface languages.</w:t>
      </w:r>
    </w:p>
    <w:p>
      <w:pPr>
        <w:pStyle w:val="Heading1"/>
        <w:pBdr>
          <w:bottom w:val="single" w:color="E2E8F0" w:sz="8" w:space="6"/>
        </w:pBdr>
        <w:spacing w:after="140" w:before="360"/>
      </w:pPr>
      <w:r>
        <w:rPr>
          <w:rFonts w:ascii="Calibri" w:cs="Calibri" w:eastAsia="Calibri" w:hAnsi="Calibri"/>
          <w:b/>
          <w:bCs/>
          <w:color w:val="2563EB"/>
          <w:sz w:val="30"/>
          <w:szCs w:val="30"/>
        </w:rPr>
        <w:t xml:space="preserve">The Swiss / DACH angle</w:t>
      </w:r>
    </w:p>
    <w:p>
      <w:pPr>
        <w:pStyle w:val="ListParagraph"/>
        <w:numPr>
          <w:ilvl w:val="0"/>
          <w:numId w:val="2"/>
        </w:numPr>
        <w:spacing w:after="60" w:line="268"/>
      </w:pPr>
      <w:r>
        <w:rPr>
          <w:rFonts w:ascii="Calibri" w:cs="Calibri" w:eastAsia="Calibri" w:hAnsi="Calibri"/>
          <w:color w:val="475569"/>
          <w:sz w:val="21"/>
          <w:szCs w:val="21"/>
        </w:rPr>
        <w:t xml:space="preserve">Cantonal public holidays applied automatically per employee (all 26 Swiss cantons), plus country presets for Switzerland, Germany, Austria, France and Italy.</w:t>
      </w:r>
    </w:p>
    <w:p>
      <w:pPr>
        <w:pStyle w:val="ListParagraph"/>
        <w:numPr>
          <w:ilvl w:val="0"/>
          <w:numId w:val="2"/>
        </w:numPr>
        <w:spacing w:after="60" w:line="268"/>
      </w:pPr>
      <w:r>
        <w:rPr>
          <w:rFonts w:ascii="Calibri" w:cs="Calibri" w:eastAsia="Calibri" w:hAnsi="Calibri"/>
          <w:color w:val="475569"/>
          <w:sz w:val="21"/>
          <w:szCs w:val="21"/>
        </w:rPr>
        <w:t xml:space="preserve">Swiss-style monthly timesheet with target/actual, overtime carry-over and signature lines — the format Swiss employers and trustees expect.</w:t>
      </w:r>
    </w:p>
    <w:p>
      <w:pPr>
        <w:pStyle w:val="ListParagraph"/>
        <w:numPr>
          <w:ilvl w:val="0"/>
          <w:numId w:val="2"/>
        </w:numPr>
        <w:spacing w:after="60" w:line="268"/>
      </w:pPr>
      <w:r>
        <w:rPr>
          <w:rFonts w:ascii="Calibri" w:cs="Calibri" w:eastAsia="Calibri" w:hAnsi="Calibri"/>
          <w:color w:val="475569"/>
          <w:sz w:val="21"/>
          <w:szCs w:val="21"/>
        </w:rPr>
        <w:t xml:space="preserve">CHF-first billing with configurable currency and VAT.</w:t>
      </w:r>
    </w:p>
    <w:p>
      <w:pPr>
        <w:pStyle w:val="ListParagraph"/>
        <w:numPr>
          <w:ilvl w:val="0"/>
          <w:numId w:val="2"/>
        </w:numPr>
        <w:spacing w:after="60" w:line="268"/>
      </w:pPr>
      <w:r>
        <w:rPr>
          <w:rFonts w:ascii="Calibri" w:cs="Calibri" w:eastAsia="Calibri" w:hAnsi="Calibri"/>
          <w:color w:val="475569"/>
          <w:sz w:val="21"/>
          <w:szCs w:val="21"/>
        </w:rPr>
        <w:t xml:space="preserve">Interface in English, Swiss German, French and Italian — the languages of the Swiss market.</w:t>
      </w:r>
    </w:p>
    <w:p>
      <w:pPr>
        <w:pStyle w:val="Heading1"/>
        <w:pBdr>
          <w:bottom w:val="single" w:color="E2E8F0" w:sz="8" w:space="6"/>
        </w:pBdr>
        <w:spacing w:after="140" w:before="360"/>
      </w:pPr>
      <w:r>
        <w:rPr>
          <w:rFonts w:ascii="Calibri" w:cs="Calibri" w:eastAsia="Calibri" w:hAnsi="Calibri"/>
          <w:b/>
          <w:bCs/>
          <w:color w:val="2563EB"/>
          <w:sz w:val="30"/>
          <w:szCs w:val="30"/>
        </w:rPr>
        <w:t xml:space="preserve">Pricing &amp; launch offer</w:t>
      </w:r>
    </w:p>
    <w:p>
      <w:pPr>
        <w:pStyle w:val="ListParagraph"/>
        <w:numPr>
          <w:ilvl w:val="0"/>
          <w:numId w:val="2"/>
        </w:numPr>
        <w:spacing w:after="60" w:line="268"/>
      </w:pPr>
      <w:r>
        <w:rPr>
          <w:rFonts w:ascii="Calibri" w:cs="Calibri" w:eastAsia="Calibri" w:hAnsi="Calibri"/>
          <w:color w:val="475569"/>
          <w:sz w:val="21"/>
          <w:szCs w:val="21"/>
        </w:rPr>
        <w:t xml:space="preserve">Free for any new company that registers in 2026, no commitment. Employees pay nothing.</w:t>
      </w:r>
    </w:p>
    <w:p>
      <w:pPr>
        <w:pStyle w:val="ListParagraph"/>
        <w:numPr>
          <w:ilvl w:val="0"/>
          <w:numId w:val="2"/>
        </w:numPr>
        <w:spacing w:after="60" w:line="268"/>
      </w:pPr>
      <w:r>
        <w:rPr>
          <w:rFonts w:ascii="Calibri" w:cs="Calibri" w:eastAsia="Calibri" w:hAnsi="Calibri"/>
          <w:color w:val="475569"/>
          <w:sz w:val="21"/>
          <w:szCs w:val="21"/>
        </w:rPr>
        <w:t xml:space="preserve">Pricing after the launch phase will be communicated to registered companies ahead of any change.</w:t>
      </w:r>
    </w:p>
    <w:p>
      <w:pPr>
        <w:pStyle w:val="Heading1"/>
        <w:pBdr>
          <w:bottom w:val="single" w:color="E2E8F0" w:sz="8" w:space="6"/>
        </w:pBdr>
        <w:spacing w:after="140" w:before="360"/>
      </w:pPr>
      <w:r>
        <w:rPr>
          <w:rFonts w:ascii="Calibri" w:cs="Calibri" w:eastAsia="Calibri" w:hAnsi="Calibri"/>
          <w:b/>
          <w:bCs/>
          <w:color w:val="2563EB"/>
          <w:sz w:val="30"/>
          <w:szCs w:val="30"/>
        </w:rPr>
        <w:t xml:space="preserve">Technology &amp; data</w:t>
      </w:r>
    </w:p>
    <w:p>
      <w:pPr>
        <w:pStyle w:val="ListParagraph"/>
        <w:numPr>
          <w:ilvl w:val="0"/>
          <w:numId w:val="2"/>
        </w:numPr>
        <w:spacing w:after="60" w:line="268"/>
      </w:pPr>
      <w:r>
        <w:rPr>
          <w:rFonts w:ascii="Calibri" w:cs="Calibri" w:eastAsia="Calibri" w:hAnsi="Calibri"/>
          <w:color w:val="475569"/>
          <w:sz w:val="21"/>
          <w:szCs w:val="21"/>
        </w:rPr>
        <w:t xml:space="preserve">Web application that runs in any modern browser, including on phones. There is no native mobile app at this time.</w:t>
      </w:r>
    </w:p>
    <w:p>
      <w:pPr>
        <w:pStyle w:val="ListParagraph"/>
        <w:numPr>
          <w:ilvl w:val="0"/>
          <w:numId w:val="2"/>
        </w:numPr>
        <w:spacing w:after="60" w:line="268"/>
      </w:pPr>
      <w:r>
        <w:rPr>
          <w:rFonts w:ascii="Calibri" w:cs="Calibri" w:eastAsia="Calibri" w:hAnsi="Calibri"/>
          <w:color w:val="475569"/>
          <w:sz w:val="21"/>
          <w:szCs w:val="21"/>
        </w:rPr>
        <w:t xml:space="preserve">Built on Google Cloud (Firebase): authentication, Firestore database, hosting and Cloud Functions. Backend services run in Google Cloud’s Zurich region (europe-west6).</w:t>
      </w:r>
    </w:p>
    <w:p>
      <w:pPr>
        <w:pStyle w:val="ListParagraph"/>
        <w:numPr>
          <w:ilvl w:val="0"/>
          <w:numId w:val="2"/>
        </w:numPr>
        <w:spacing w:after="60" w:line="268"/>
      </w:pPr>
      <w:r>
        <w:rPr>
          <w:rFonts w:ascii="Calibri" w:cs="Calibri" w:eastAsia="Calibri" w:hAnsi="Calibri"/>
          <w:color w:val="475569"/>
          <w:sz w:val="21"/>
          <w:szCs w:val="21"/>
        </w:rPr>
        <w:t xml:space="preserve">Users can export their data to Excel at any time.</w:t>
      </w:r>
    </w:p>
    <w:p>
      <w:r>
        <w:br w:type="page"/>
      </w:r>
    </w:p>
    <w:p>
      <w:pPr>
        <w:pStyle w:val="Heading1"/>
        <w:pBdr>
          <w:bottom w:val="single" w:color="E2E8F0" w:sz="8" w:space="6"/>
        </w:pBdr>
        <w:spacing w:after="140" w:before="360"/>
      </w:pPr>
      <w:r>
        <w:rPr>
          <w:rFonts w:ascii="Calibri" w:cs="Calibri" w:eastAsia="Calibri" w:hAnsi="Calibri"/>
          <w:b/>
          <w:bCs/>
          <w:color w:val="2563EB"/>
          <w:sz w:val="30"/>
          <w:szCs w:val="30"/>
        </w:rPr>
        <w:t xml:space="preserve">Competitive landscape</w:t>
      </w:r>
    </w:p>
    <w:p>
      <w:pPr>
        <w:spacing w:after="140" w:line="276"/>
      </w:pPr>
      <w:r>
        <w:rPr>
          <w:rFonts w:ascii="Calibri" w:cs="Calibri" w:eastAsia="Calibri" w:hAnsi="Calibri"/>
          <w:color w:val="475569"/>
          <w:sz w:val="21"/>
          <w:szCs w:val="21"/>
        </w:rPr>
        <w:t xml:space="preserve">No single competitor combines a Swiss statutory timesheet, cantonal-holiday absence management, client/project billing and HR analytics in one free-to-start app. Rivals tend to specialise in one lane:</w:t>
      </w:r>
    </w:p>
    <w:p>
      <w:pPr>
        <w:pStyle w:val="Heading2"/>
        <w:spacing w:after="80" w:before="220"/>
      </w:pPr>
      <w:r>
        <w:rPr>
          <w:rFonts w:ascii="Calibri" w:cs="Calibri" w:eastAsia="Calibri" w:hAnsi="Calibri"/>
          <w:b/>
          <w:bCs/>
          <w:color w:val="0F172A"/>
          <w:sz w:val="23"/>
          <w:szCs w:val="23"/>
        </w:rPr>
        <w:t xml:space="preserve">Generalist time trackers (project timers)</w:t>
      </w:r>
    </w:p>
    <w:p>
      <w:pPr>
        <w:spacing w:after="140" w:line="276"/>
      </w:pPr>
      <w:r>
        <w:rPr>
          <w:rFonts w:ascii="Calibri" w:cs="Calibri" w:eastAsia="Calibri" w:hAnsi="Calibri"/>
          <w:color w:val="475569"/>
          <w:sz w:val="21"/>
          <w:szCs w:val="21"/>
        </w:rPr>
        <w:t xml:space="preserve">Clockify offers the market’s most generous free plan (unlimited users and projects); time-off management, approvals and invoicing sit on paid tiers. Toggl Track wins on simplicity and automatic tracking but lacks time-off management and puts approvals behind Premium. Harvest is strong at turning tracked time into invoices. These excel at project timing but are not built around Swiss statutory sheets, cantonal holidays, part-time percentages or VAT-ready billing.</w:t>
      </w:r>
    </w:p>
    <w:p>
      <w:pPr>
        <w:pStyle w:val="Heading2"/>
        <w:spacing w:after="80" w:before="220"/>
      </w:pPr>
      <w:r>
        <w:rPr>
          <w:rFonts w:ascii="Calibri" w:cs="Calibri" w:eastAsia="Calibri" w:hAnsi="Calibri"/>
          <w:b/>
          <w:bCs/>
          <w:color w:val="0F172A"/>
          <w:sz w:val="23"/>
          <w:szCs w:val="23"/>
        </w:rPr>
        <w:t xml:space="preserve">Agency / consulting ERPs (DACH)</w:t>
      </w:r>
    </w:p>
    <w:p>
      <w:pPr>
        <w:spacing w:after="140" w:line="276"/>
      </w:pPr>
      <w:r>
        <w:rPr>
          <w:rFonts w:ascii="Calibri" w:cs="Calibri" w:eastAsia="Calibri" w:hAnsi="Calibri"/>
          <w:color w:val="475569"/>
          <w:sz w:val="21"/>
          <w:szCs w:val="21"/>
        </w:rPr>
        <w:t xml:space="preserve">MOCO is a mature DACH platform combining time tracking, projects, invoicing and light HR, with mobile apps and a bexio connector. Clockodo covers work-time and absences, adding billable hours and project control on its Pro plan. Both are agency-focused and paid, and lean less on the statutory Swiss monthly-sheet format.</w:t>
      </w:r>
    </w:p>
    <w:p>
      <w:pPr>
        <w:pStyle w:val="Heading2"/>
        <w:spacing w:after="80" w:before="220"/>
      </w:pPr>
      <w:r>
        <w:rPr>
          <w:rFonts w:ascii="Calibri" w:cs="Calibri" w:eastAsia="Calibri" w:hAnsi="Calibri"/>
          <w:b/>
          <w:bCs/>
          <w:color w:val="0F172A"/>
          <w:sz w:val="23"/>
          <w:szCs w:val="23"/>
        </w:rPr>
        <w:t xml:space="preserve">Swiss all-in-one / accounting</w:t>
      </w:r>
    </w:p>
    <w:p>
      <w:pPr>
        <w:spacing w:after="140" w:line="276"/>
      </w:pPr>
      <w:r>
        <w:rPr>
          <w:rFonts w:ascii="Calibri" w:cs="Calibri" w:eastAsia="Calibri" w:hAnsi="Calibri"/>
          <w:color w:val="475569"/>
          <w:sz w:val="21"/>
          <w:szCs w:val="21"/>
        </w:rPr>
        <w:t xml:space="preserve">Bexio is the dominant Swiss SME business suite (time tracking and invoicing included) — but it is a broader accounting/ERP tool and is often described as limited on time evaluation and analysis. Swiss-compliance-oriented names such as Abacus, Mobatime, Lucca and Adequasys target larger or more HR-heavy setups.</w:t>
      </w:r>
    </w:p>
    <w:p>
      <w:pPr>
        <w:pStyle w:val="Heading2"/>
        <w:spacing w:after="80" w:before="220"/>
      </w:pPr>
      <w:r>
        <w:rPr>
          <w:rFonts w:ascii="Calibri" w:cs="Calibri" w:eastAsia="Calibri" w:hAnsi="Calibri"/>
          <w:b/>
          <w:bCs/>
          <w:color w:val="0F172A"/>
          <w:sz w:val="23"/>
          <w:szCs w:val="23"/>
        </w:rPr>
        <w:t xml:space="preserve">Absence / HR specialists</w:t>
      </w:r>
    </w:p>
    <w:p>
      <w:pPr>
        <w:spacing w:after="140" w:line="276"/>
      </w:pPr>
      <w:r>
        <w:rPr>
          <w:rFonts w:ascii="Calibri" w:cs="Calibri" w:eastAsia="Calibri" w:hAnsi="Calibri"/>
          <w:color w:val="475569"/>
          <w:sz w:val="21"/>
          <w:szCs w:val="21"/>
        </w:rPr>
        <w:t xml:space="preserve">absence.io and Personio focus on leave/absence and broader HR with strong DACH compliance — but they do not do daily time capture or client billing the way LogSheet does.</w:t>
      </w:r>
    </w:p>
    <w:p>
      <w:pPr>
        <w:pStyle w:val="Heading2"/>
        <w:spacing w:after="80" w:before="220"/>
      </w:pPr>
      <w:r>
        <w:rPr>
          <w:rFonts w:ascii="Calibri" w:cs="Calibri" w:eastAsia="Calibri" w:hAnsi="Calibri"/>
          <w:b/>
          <w:bCs/>
          <w:color w:val="0F172A"/>
          <w:sz w:val="23"/>
          <w:szCs w:val="23"/>
        </w:rPr>
        <w:t xml:space="preserve">At-a-glance comparison</w:t>
      </w:r>
    </w:p>
    <w:tbl>
      <w:tblPr>
        <w:tblW w:type="dxa" w:w="9026"/>
        <w:tblBorders>
          <w:top w:val="single" w:color="E2E8F0" w:sz="2"/>
          <w:left w:val="none"/>
          <w:bottom w:val="single" w:color="E2E8F0" w:sz="2"/>
          <w:right w:val="none"/>
          <w:insideH w:val="single" w:color="E2E8F0" w:sz="2"/>
          <w:insideV w:val="single" w:color="E2E8F0" w:sz="2"/>
        </w:tblBorders>
      </w:tblPr>
      <w:tblGrid>
        <w:gridCol w:w="1750"/>
        <w:gridCol w:w="1600"/>
        <w:gridCol w:w="1050"/>
        <w:gridCol w:w="1000"/>
        <w:gridCol w:w="950"/>
        <w:gridCol w:w="640"/>
        <w:gridCol w:w="900"/>
        <w:gridCol w:w="1136"/>
      </w:tblGrid>
      <w:tr>
        <w:trPr>
          <w:tblHeader/>
        </w:trPr>
        <w:tc>
          <w:tcPr>
            <w:tcW w:type="dxa" w:w="1750"/>
            <w:shd w:fill="1E293B" w:val="clear"/>
            <w:tcMar>
              <w:top w:type="dxa" w:w="60"/>
              <w:left w:type="dxa" w:w="90"/>
              <w:bottom w:type="dxa" w:w="60"/>
              <w:right w:type="dxa" w:w="90"/>
            </w:tcMar>
          </w:tcPr>
          <w:p>
            <w:pPr>
              <w:jc w:val="left"/>
            </w:pPr>
            <w:r>
              <w:rPr>
                <w:rFonts w:ascii="Calibri" w:cs="Calibri" w:eastAsia="Calibri" w:hAnsi="Calibri"/>
                <w:b/>
                <w:bCs/>
                <w:color w:val="FFFFFF"/>
                <w:sz w:val="15"/>
                <w:szCs w:val="15"/>
              </w:rPr>
              <w:t xml:space="preserve">Tool</w:t>
            </w:r>
          </w:p>
        </w:tc>
        <w:tc>
          <w:tcPr>
            <w:tcW w:type="dxa" w:w="1750"/>
            <w:shd w:fill="1E293B" w:val="clear"/>
            <w:tcMar>
              <w:top w:type="dxa" w:w="60"/>
              <w:left w:type="dxa" w:w="90"/>
              <w:bottom w:type="dxa" w:w="60"/>
              <w:right w:type="dxa" w:w="90"/>
            </w:tcMar>
          </w:tcPr>
          <w:p>
            <w:pPr>
              <w:jc w:val="center"/>
            </w:pPr>
            <w:r>
              <w:rPr>
                <w:rFonts w:ascii="Calibri" w:cs="Calibri" w:eastAsia="Calibri" w:hAnsi="Calibri"/>
                <w:b/>
                <w:bCs/>
                <w:color w:val="FFFFFF"/>
                <w:sz w:val="15"/>
                <w:szCs w:val="15"/>
              </w:rPr>
              <w:t xml:space="preserve">Focus</w:t>
            </w:r>
          </w:p>
        </w:tc>
        <w:tc>
          <w:tcPr>
            <w:tcW w:type="dxa" w:w="1750"/>
            <w:shd w:fill="1E293B" w:val="clear"/>
            <w:tcMar>
              <w:top w:type="dxa" w:w="60"/>
              <w:left w:type="dxa" w:w="90"/>
              <w:bottom w:type="dxa" w:w="60"/>
              <w:right w:type="dxa" w:w="90"/>
            </w:tcMar>
          </w:tcPr>
          <w:p>
            <w:pPr>
              <w:jc w:val="center"/>
            </w:pPr>
            <w:r>
              <w:rPr>
                <w:rFonts w:ascii="Calibri" w:cs="Calibri" w:eastAsia="Calibri" w:hAnsi="Calibri"/>
                <w:b/>
                <w:bCs/>
                <w:color w:val="FFFFFF"/>
                <w:sz w:val="15"/>
                <w:szCs w:val="15"/>
              </w:rPr>
              <w:t xml:space="preserve">Timesheet</w:t>
            </w:r>
          </w:p>
        </w:tc>
        <w:tc>
          <w:tcPr>
            <w:tcW w:type="dxa" w:w="1750"/>
            <w:shd w:fill="1E293B" w:val="clear"/>
            <w:tcMar>
              <w:top w:type="dxa" w:w="60"/>
              <w:left w:type="dxa" w:w="90"/>
              <w:bottom w:type="dxa" w:w="60"/>
              <w:right w:type="dxa" w:w="90"/>
            </w:tcMar>
          </w:tcPr>
          <w:p>
            <w:pPr>
              <w:jc w:val="center"/>
            </w:pPr>
            <w:r>
              <w:rPr>
                <w:rFonts w:ascii="Calibri" w:cs="Calibri" w:eastAsia="Calibri" w:hAnsi="Calibri"/>
                <w:b/>
                <w:bCs/>
                <w:color w:val="FFFFFF"/>
                <w:sz w:val="15"/>
                <w:szCs w:val="15"/>
              </w:rPr>
              <w:t xml:space="preserve">Absence</w:t>
            </w:r>
          </w:p>
        </w:tc>
        <w:tc>
          <w:tcPr>
            <w:tcW w:type="dxa" w:w="1750"/>
            <w:shd w:fill="1E293B" w:val="clear"/>
            <w:tcMar>
              <w:top w:type="dxa" w:w="60"/>
              <w:left w:type="dxa" w:w="90"/>
              <w:bottom w:type="dxa" w:w="60"/>
              <w:right w:type="dxa" w:w="90"/>
            </w:tcMar>
          </w:tcPr>
          <w:p>
            <w:pPr>
              <w:jc w:val="center"/>
            </w:pPr>
            <w:r>
              <w:rPr>
                <w:rFonts w:ascii="Calibri" w:cs="Calibri" w:eastAsia="Calibri" w:hAnsi="Calibri"/>
                <w:b/>
                <w:bCs/>
                <w:color w:val="FFFFFF"/>
                <w:sz w:val="15"/>
                <w:szCs w:val="15"/>
              </w:rPr>
              <w:t xml:space="preserve">Billing</w:t>
            </w:r>
          </w:p>
        </w:tc>
        <w:tc>
          <w:tcPr>
            <w:tcW w:type="dxa" w:w="1750"/>
            <w:shd w:fill="1E293B" w:val="clear"/>
            <w:tcMar>
              <w:top w:type="dxa" w:w="60"/>
              <w:left w:type="dxa" w:w="90"/>
              <w:bottom w:type="dxa" w:w="60"/>
              <w:right w:type="dxa" w:w="90"/>
            </w:tcMar>
          </w:tcPr>
          <w:p>
            <w:pPr>
              <w:jc w:val="center"/>
            </w:pPr>
            <w:r>
              <w:rPr>
                <w:rFonts w:ascii="Calibri" w:cs="Calibri" w:eastAsia="Calibri" w:hAnsi="Calibri"/>
                <w:b/>
                <w:bCs/>
                <w:color w:val="FFFFFF"/>
                <w:sz w:val="15"/>
                <w:szCs w:val="15"/>
              </w:rPr>
              <w:t xml:space="preserve">HR</w:t>
            </w:r>
          </w:p>
        </w:tc>
        <w:tc>
          <w:tcPr>
            <w:tcW w:type="dxa" w:w="1750"/>
            <w:shd w:fill="1E293B" w:val="clear"/>
            <w:tcMar>
              <w:top w:type="dxa" w:w="60"/>
              <w:left w:type="dxa" w:w="90"/>
              <w:bottom w:type="dxa" w:w="60"/>
              <w:right w:type="dxa" w:w="90"/>
            </w:tcMar>
          </w:tcPr>
          <w:p>
            <w:pPr>
              <w:jc w:val="center"/>
            </w:pPr>
            <w:r>
              <w:rPr>
                <w:rFonts w:ascii="Calibri" w:cs="Calibri" w:eastAsia="Calibri" w:hAnsi="Calibri"/>
                <w:b/>
                <w:bCs/>
                <w:color w:val="FFFFFF"/>
                <w:sz w:val="15"/>
                <w:szCs w:val="15"/>
              </w:rPr>
              <w:t xml:space="preserve">Free</w:t>
            </w:r>
          </w:p>
        </w:tc>
        <w:tc>
          <w:tcPr>
            <w:tcW w:type="dxa" w:w="1750"/>
            <w:shd w:fill="1E293B" w:val="clear"/>
            <w:tcMar>
              <w:top w:type="dxa" w:w="60"/>
              <w:left w:type="dxa" w:w="90"/>
              <w:bottom w:type="dxa" w:w="60"/>
              <w:right w:type="dxa" w:w="90"/>
            </w:tcMar>
          </w:tcPr>
          <w:p>
            <w:pPr>
              <w:jc w:val="center"/>
            </w:pPr>
            <w:r>
              <w:rPr>
                <w:rFonts w:ascii="Calibri" w:cs="Calibri" w:eastAsia="Calibri" w:hAnsi="Calibri"/>
                <w:b/>
                <w:bCs/>
                <w:color w:val="FFFFFF"/>
                <w:sz w:val="15"/>
                <w:szCs w:val="15"/>
              </w:rPr>
              <w:t xml:space="preserve">Swiss</w:t>
            </w:r>
          </w:p>
        </w:tc>
      </w:tr>
      <w:tr>
        <w:tc>
          <w:tcPr>
            <w:tcW w:type="dxa" w:w="1750"/>
            <w:shd w:fill="EFF6FF" w:val="clear"/>
            <w:tcMar>
              <w:top w:type="dxa" w:w="60"/>
              <w:left w:type="dxa" w:w="90"/>
              <w:bottom w:type="dxa" w:w="60"/>
              <w:right w:type="dxa" w:w="90"/>
            </w:tcMar>
          </w:tcPr>
          <w:p>
            <w:pPr>
              <w:jc w:val="left"/>
            </w:pPr>
            <w:r>
              <w:rPr>
                <w:rFonts w:ascii="Calibri" w:cs="Calibri" w:eastAsia="Calibri" w:hAnsi="Calibri"/>
                <w:b/>
                <w:bCs/>
                <w:color w:val="0F172A"/>
                <w:sz w:val="16"/>
                <w:szCs w:val="16"/>
              </w:rPr>
              <w:t xml:space="preserve">LogSheet</w:t>
            </w:r>
          </w:p>
        </w:tc>
        <w:tc>
          <w:tcPr>
            <w:tcW w:type="dxa" w:w="1750"/>
            <w:shd w:fill="EFF6FF" w:val="clear"/>
            <w:tcMar>
              <w:top w:type="dxa" w:w="60"/>
              <w:left w:type="dxa" w:w="90"/>
              <w:bottom w:type="dxa" w:w="60"/>
              <w:right w:type="dxa" w:w="90"/>
            </w:tcMar>
          </w:tcPr>
          <w:p>
            <w:pPr>
              <w:jc w:val="center"/>
            </w:pPr>
            <w:r>
              <w:rPr>
                <w:rFonts w:ascii="Calibri" w:cs="Calibri" w:eastAsia="Calibri" w:hAnsi="Calibri"/>
                <w:b w:val="false"/>
                <w:bCs w:val="false"/>
                <w:color w:val="475569"/>
                <w:sz w:val="16"/>
                <w:szCs w:val="16"/>
              </w:rPr>
              <w:t xml:space="preserve">CH · SME all-round</w:t>
            </w:r>
          </w:p>
        </w:tc>
        <w:tc>
          <w:tcPr>
            <w:tcW w:type="dxa" w:w="1750"/>
            <w:shd w:fill="EFF6FF" w:val="clear"/>
            <w:tcMar>
              <w:top w:type="dxa" w:w="60"/>
              <w:left w:type="dxa" w:w="90"/>
              <w:bottom w:type="dxa" w:w="60"/>
              <w:right w:type="dxa" w:w="90"/>
            </w:tcMar>
          </w:tcPr>
          <w:p>
            <w:pPr>
              <w:jc w:val="center"/>
            </w:pPr>
            <w:r>
              <w:rPr>
                <w:rFonts w:ascii="Calibri" w:cs="Calibri" w:eastAsia="Calibri" w:hAnsi="Calibri"/>
                <w:b w:val="false"/>
                <w:bCs w:val="false"/>
                <w:color w:val="475569"/>
                <w:sz w:val="16"/>
                <w:szCs w:val="16"/>
              </w:rPr>
              <w:t xml:space="preserve">✓</w:t>
            </w:r>
          </w:p>
        </w:tc>
        <w:tc>
          <w:tcPr>
            <w:tcW w:type="dxa" w:w="1750"/>
            <w:shd w:fill="EFF6FF" w:val="clear"/>
            <w:tcMar>
              <w:top w:type="dxa" w:w="60"/>
              <w:left w:type="dxa" w:w="90"/>
              <w:bottom w:type="dxa" w:w="60"/>
              <w:right w:type="dxa" w:w="90"/>
            </w:tcMar>
          </w:tcPr>
          <w:p>
            <w:pPr>
              <w:jc w:val="center"/>
            </w:pPr>
            <w:r>
              <w:rPr>
                <w:rFonts w:ascii="Calibri" w:cs="Calibri" w:eastAsia="Calibri" w:hAnsi="Calibri"/>
                <w:b w:val="false"/>
                <w:bCs w:val="false"/>
                <w:color w:val="475569"/>
                <w:sz w:val="16"/>
                <w:szCs w:val="16"/>
              </w:rPr>
              <w:t xml:space="preserve">✓</w:t>
            </w:r>
          </w:p>
        </w:tc>
        <w:tc>
          <w:tcPr>
            <w:tcW w:type="dxa" w:w="1750"/>
            <w:shd w:fill="EFF6FF" w:val="clear"/>
            <w:tcMar>
              <w:top w:type="dxa" w:w="60"/>
              <w:left w:type="dxa" w:w="90"/>
              <w:bottom w:type="dxa" w:w="60"/>
              <w:right w:type="dxa" w:w="90"/>
            </w:tcMar>
          </w:tcPr>
          <w:p>
            <w:pPr>
              <w:jc w:val="center"/>
            </w:pPr>
            <w:r>
              <w:rPr>
                <w:rFonts w:ascii="Calibri" w:cs="Calibri" w:eastAsia="Calibri" w:hAnsi="Calibri"/>
                <w:b w:val="false"/>
                <w:bCs w:val="false"/>
                <w:color w:val="475569"/>
                <w:sz w:val="16"/>
                <w:szCs w:val="16"/>
              </w:rPr>
              <w:t xml:space="preserve">✓</w:t>
            </w:r>
          </w:p>
        </w:tc>
        <w:tc>
          <w:tcPr>
            <w:tcW w:type="dxa" w:w="1750"/>
            <w:shd w:fill="EFF6FF" w:val="clear"/>
            <w:tcMar>
              <w:top w:type="dxa" w:w="60"/>
              <w:left w:type="dxa" w:w="90"/>
              <w:bottom w:type="dxa" w:w="60"/>
              <w:right w:type="dxa" w:w="90"/>
            </w:tcMar>
          </w:tcPr>
          <w:p>
            <w:pPr>
              <w:jc w:val="center"/>
            </w:pPr>
            <w:r>
              <w:rPr>
                <w:rFonts w:ascii="Calibri" w:cs="Calibri" w:eastAsia="Calibri" w:hAnsi="Calibri"/>
                <w:b w:val="false"/>
                <w:bCs w:val="false"/>
                <w:color w:val="475569"/>
                <w:sz w:val="16"/>
                <w:szCs w:val="16"/>
              </w:rPr>
              <w:t xml:space="preserve">✓</w:t>
            </w:r>
          </w:p>
        </w:tc>
        <w:tc>
          <w:tcPr>
            <w:tcW w:type="dxa" w:w="1750"/>
            <w:shd w:fill="EFF6FF" w:val="clear"/>
            <w:tcMar>
              <w:top w:type="dxa" w:w="60"/>
              <w:left w:type="dxa" w:w="90"/>
              <w:bottom w:type="dxa" w:w="60"/>
              <w:right w:type="dxa" w:w="90"/>
            </w:tcMar>
          </w:tcPr>
          <w:p>
            <w:pPr>
              <w:jc w:val="center"/>
            </w:pPr>
            <w:r>
              <w:rPr>
                <w:rFonts w:ascii="Calibri" w:cs="Calibri" w:eastAsia="Calibri" w:hAnsi="Calibri"/>
                <w:b w:val="false"/>
                <w:bCs w:val="false"/>
                <w:color w:val="475569"/>
                <w:sz w:val="16"/>
                <w:szCs w:val="16"/>
              </w:rPr>
              <w:t xml:space="preserve">✓</w:t>
            </w:r>
          </w:p>
        </w:tc>
        <w:tc>
          <w:tcPr>
            <w:tcW w:type="dxa" w:w="1750"/>
            <w:shd w:fill="EFF6FF" w:val="clear"/>
            <w:tcMar>
              <w:top w:type="dxa" w:w="60"/>
              <w:left w:type="dxa" w:w="90"/>
              <w:bottom w:type="dxa" w:w="60"/>
              <w:right w:type="dxa" w:w="90"/>
            </w:tcMar>
          </w:tcPr>
          <w:p>
            <w:pPr>
              <w:jc w:val="center"/>
            </w:pPr>
            <w:r>
              <w:rPr>
                <w:rFonts w:ascii="Calibri" w:cs="Calibri" w:eastAsia="Calibri" w:hAnsi="Calibri"/>
                <w:b w:val="false"/>
                <w:bCs w:val="false"/>
                <w:color w:val="475569"/>
                <w:sz w:val="16"/>
                <w:szCs w:val="16"/>
              </w:rPr>
              <w:t xml:space="preserve">✓</w:t>
            </w:r>
          </w:p>
        </w:tc>
      </w:tr>
      <w:tr>
        <w:tc>
          <w:tcPr>
            <w:tcW w:type="dxa" w:w="1750"/>
            <w:shd w:fill="F8FAFC" w:val="clear"/>
            <w:tcMar>
              <w:top w:type="dxa" w:w="60"/>
              <w:left w:type="dxa" w:w="90"/>
              <w:bottom w:type="dxa" w:w="60"/>
              <w:right w:type="dxa" w:w="90"/>
            </w:tcMar>
          </w:tcPr>
          <w:p>
            <w:pPr>
              <w:jc w:val="left"/>
            </w:pPr>
            <w:r>
              <w:rPr>
                <w:rFonts w:ascii="Calibri" w:cs="Calibri" w:eastAsia="Calibri" w:hAnsi="Calibri"/>
                <w:b/>
                <w:bCs/>
                <w:color w:val="0F172A"/>
                <w:sz w:val="16"/>
                <w:szCs w:val="16"/>
              </w:rPr>
              <w:t xml:space="preserve">Clockify</w:t>
            </w:r>
          </w:p>
        </w:tc>
        <w:tc>
          <w:tcPr>
            <w:tcW w:type="dxa" w:w="1750"/>
            <w:shd w:fill="F8FAFC" w:val="clear"/>
            <w:tcMar>
              <w:top w:type="dxa" w:w="60"/>
              <w:left w:type="dxa" w:w="90"/>
              <w:bottom w:type="dxa" w:w="60"/>
              <w:right w:type="dxa" w:w="90"/>
            </w:tcMar>
          </w:tcPr>
          <w:p>
            <w:pPr>
              <w:jc w:val="center"/>
            </w:pPr>
            <w:r>
              <w:rPr>
                <w:rFonts w:ascii="Calibri" w:cs="Calibri" w:eastAsia="Calibri" w:hAnsi="Calibri"/>
                <w:b w:val="false"/>
                <w:bCs w:val="false"/>
                <w:color w:val="475569"/>
                <w:sz w:val="16"/>
                <w:szCs w:val="16"/>
              </w:rPr>
              <w:t xml:space="preserve">Global · project timer</w:t>
            </w:r>
          </w:p>
        </w:tc>
        <w:tc>
          <w:tcPr>
            <w:tcW w:type="dxa" w:w="1750"/>
            <w:shd w:fill="F8FAFC" w:val="clear"/>
            <w:tcMar>
              <w:top w:type="dxa" w:w="60"/>
              <w:left w:type="dxa" w:w="90"/>
              <w:bottom w:type="dxa" w:w="60"/>
              <w:right w:type="dxa" w:w="90"/>
            </w:tcMar>
          </w:tcPr>
          <w:p>
            <w:pPr>
              <w:jc w:val="center"/>
            </w:pPr>
            <w:r>
              <w:rPr>
                <w:rFonts w:ascii="Calibri" w:cs="Calibri" w:eastAsia="Calibri" w:hAnsi="Calibri"/>
                <w:b w:val="false"/>
                <w:bCs w:val="false"/>
                <w:color w:val="475569"/>
                <w:sz w:val="16"/>
                <w:szCs w:val="16"/>
              </w:rPr>
              <w:t xml:space="preserve">~</w:t>
            </w:r>
          </w:p>
        </w:tc>
        <w:tc>
          <w:tcPr>
            <w:tcW w:type="dxa" w:w="1750"/>
            <w:shd w:fill="F8FAFC" w:val="clear"/>
            <w:tcMar>
              <w:top w:type="dxa" w:w="60"/>
              <w:left w:type="dxa" w:w="90"/>
              <w:bottom w:type="dxa" w:w="60"/>
              <w:right w:type="dxa" w:w="90"/>
            </w:tcMar>
          </w:tcPr>
          <w:p>
            <w:pPr>
              <w:jc w:val="center"/>
            </w:pPr>
            <w:r>
              <w:rPr>
                <w:rFonts w:ascii="Calibri" w:cs="Calibri" w:eastAsia="Calibri" w:hAnsi="Calibri"/>
                <w:b w:val="false"/>
                <w:bCs w:val="false"/>
                <w:color w:val="475569"/>
                <w:sz w:val="16"/>
                <w:szCs w:val="16"/>
              </w:rPr>
              <w:t xml:space="preserve">~</w:t>
            </w:r>
          </w:p>
        </w:tc>
        <w:tc>
          <w:tcPr>
            <w:tcW w:type="dxa" w:w="1750"/>
            <w:shd w:fill="F8FAFC" w:val="clear"/>
            <w:tcMar>
              <w:top w:type="dxa" w:w="60"/>
              <w:left w:type="dxa" w:w="90"/>
              <w:bottom w:type="dxa" w:w="60"/>
              <w:right w:type="dxa" w:w="90"/>
            </w:tcMar>
          </w:tcPr>
          <w:p>
            <w:pPr>
              <w:jc w:val="center"/>
            </w:pPr>
            <w:r>
              <w:rPr>
                <w:rFonts w:ascii="Calibri" w:cs="Calibri" w:eastAsia="Calibri" w:hAnsi="Calibri"/>
                <w:b w:val="false"/>
                <w:bCs w:val="false"/>
                <w:color w:val="475569"/>
                <w:sz w:val="16"/>
                <w:szCs w:val="16"/>
              </w:rPr>
              <w:t xml:space="preserve">✓</w:t>
            </w:r>
          </w:p>
        </w:tc>
        <w:tc>
          <w:tcPr>
            <w:tcW w:type="dxa" w:w="1750"/>
            <w:shd w:fill="F8FAFC" w:val="clear"/>
            <w:tcMar>
              <w:top w:type="dxa" w:w="60"/>
              <w:left w:type="dxa" w:w="90"/>
              <w:bottom w:type="dxa" w:w="60"/>
              <w:right w:type="dxa" w:w="90"/>
            </w:tcMar>
          </w:tcPr>
          <w:p>
            <w:pPr>
              <w:jc w:val="center"/>
            </w:pPr>
            <w:r>
              <w:rPr>
                <w:rFonts w:ascii="Calibri" w:cs="Calibri" w:eastAsia="Calibri" w:hAnsi="Calibri"/>
                <w:b w:val="false"/>
                <w:bCs w:val="false"/>
                <w:color w:val="475569"/>
                <w:sz w:val="16"/>
                <w:szCs w:val="16"/>
              </w:rPr>
              <w:t xml:space="preserve">~</w:t>
            </w:r>
          </w:p>
        </w:tc>
        <w:tc>
          <w:tcPr>
            <w:tcW w:type="dxa" w:w="1750"/>
            <w:shd w:fill="F8FAFC" w:val="clear"/>
            <w:tcMar>
              <w:top w:type="dxa" w:w="60"/>
              <w:left w:type="dxa" w:w="90"/>
              <w:bottom w:type="dxa" w:w="60"/>
              <w:right w:type="dxa" w:w="90"/>
            </w:tcMar>
          </w:tcPr>
          <w:p>
            <w:pPr>
              <w:jc w:val="center"/>
            </w:pPr>
            <w:r>
              <w:rPr>
                <w:rFonts w:ascii="Calibri" w:cs="Calibri" w:eastAsia="Calibri" w:hAnsi="Calibri"/>
                <w:b w:val="false"/>
                <w:bCs w:val="false"/>
                <w:color w:val="475569"/>
                <w:sz w:val="16"/>
                <w:szCs w:val="16"/>
              </w:rPr>
              <w:t xml:space="preserve">✓</w:t>
            </w:r>
          </w:p>
        </w:tc>
        <w:tc>
          <w:tcPr>
            <w:tcW w:type="dxa" w:w="1750"/>
            <w:shd w:fill="F8FAFC" w:val="clear"/>
            <w:tcMar>
              <w:top w:type="dxa" w:w="60"/>
              <w:left w:type="dxa" w:w="90"/>
              <w:bottom w:type="dxa" w:w="60"/>
              <w:right w:type="dxa" w:w="90"/>
            </w:tcMar>
          </w:tcPr>
          <w:p>
            <w:pPr>
              <w:jc w:val="center"/>
            </w:pPr>
            <w:r>
              <w:rPr>
                <w:rFonts w:ascii="Calibri" w:cs="Calibri" w:eastAsia="Calibri" w:hAnsi="Calibri"/>
                <w:b w:val="false"/>
                <w:bCs w:val="false"/>
                <w:color w:val="475569"/>
                <w:sz w:val="16"/>
                <w:szCs w:val="16"/>
              </w:rPr>
              <w:t xml:space="preserve">✗</w:t>
            </w:r>
          </w:p>
        </w:tc>
      </w:tr>
      <w:tr>
        <w:tc>
          <w:tcPr>
            <w:tcW w:type="dxa" w:w="1750"/>
            <w:shd w:fill="FFFFFF" w:val="clear"/>
            <w:tcMar>
              <w:top w:type="dxa" w:w="60"/>
              <w:left w:type="dxa" w:w="90"/>
              <w:bottom w:type="dxa" w:w="60"/>
              <w:right w:type="dxa" w:w="90"/>
            </w:tcMar>
          </w:tcPr>
          <w:p>
            <w:pPr>
              <w:jc w:val="left"/>
            </w:pPr>
            <w:r>
              <w:rPr>
                <w:rFonts w:ascii="Calibri" w:cs="Calibri" w:eastAsia="Calibri" w:hAnsi="Calibri"/>
                <w:b/>
                <w:bCs/>
                <w:color w:val="0F172A"/>
                <w:sz w:val="16"/>
                <w:szCs w:val="16"/>
              </w:rPr>
              <w:t xml:space="preserve">Toggl Track</w:t>
            </w:r>
          </w:p>
        </w:tc>
        <w:tc>
          <w:tcPr>
            <w:tcW w:type="dxa" w:w="1750"/>
            <w:shd w:fill="FFFFFF" w:val="clear"/>
            <w:tcMar>
              <w:top w:type="dxa" w:w="60"/>
              <w:left w:type="dxa" w:w="90"/>
              <w:bottom w:type="dxa" w:w="60"/>
              <w:right w:type="dxa" w:w="90"/>
            </w:tcMar>
          </w:tcPr>
          <w:p>
            <w:pPr>
              <w:jc w:val="center"/>
            </w:pPr>
            <w:r>
              <w:rPr>
                <w:rFonts w:ascii="Calibri" w:cs="Calibri" w:eastAsia="Calibri" w:hAnsi="Calibri"/>
                <w:b w:val="false"/>
                <w:bCs w:val="false"/>
                <w:color w:val="475569"/>
                <w:sz w:val="16"/>
                <w:szCs w:val="16"/>
              </w:rPr>
              <w:t xml:space="preserve">Global · simple timer</w:t>
            </w:r>
          </w:p>
        </w:tc>
        <w:tc>
          <w:tcPr>
            <w:tcW w:type="dxa" w:w="1750"/>
            <w:shd w:fill="FFFFFF" w:val="clear"/>
            <w:tcMar>
              <w:top w:type="dxa" w:w="60"/>
              <w:left w:type="dxa" w:w="90"/>
              <w:bottom w:type="dxa" w:w="60"/>
              <w:right w:type="dxa" w:w="90"/>
            </w:tcMar>
          </w:tcPr>
          <w:p>
            <w:pPr>
              <w:jc w:val="center"/>
            </w:pPr>
            <w:r>
              <w:rPr>
                <w:rFonts w:ascii="Calibri" w:cs="Calibri" w:eastAsia="Calibri" w:hAnsi="Calibri"/>
                <w:b w:val="false"/>
                <w:bCs w:val="false"/>
                <w:color w:val="475569"/>
                <w:sz w:val="16"/>
                <w:szCs w:val="16"/>
              </w:rPr>
              <w:t xml:space="preserve">~</w:t>
            </w:r>
          </w:p>
        </w:tc>
        <w:tc>
          <w:tcPr>
            <w:tcW w:type="dxa" w:w="1750"/>
            <w:shd w:fill="FFFFFF" w:val="clear"/>
            <w:tcMar>
              <w:top w:type="dxa" w:w="60"/>
              <w:left w:type="dxa" w:w="90"/>
              <w:bottom w:type="dxa" w:w="60"/>
              <w:right w:type="dxa" w:w="90"/>
            </w:tcMar>
          </w:tcPr>
          <w:p>
            <w:pPr>
              <w:jc w:val="center"/>
            </w:pPr>
            <w:r>
              <w:rPr>
                <w:rFonts w:ascii="Calibri" w:cs="Calibri" w:eastAsia="Calibri" w:hAnsi="Calibri"/>
                <w:b w:val="false"/>
                <w:bCs w:val="false"/>
                <w:color w:val="475569"/>
                <w:sz w:val="16"/>
                <w:szCs w:val="16"/>
              </w:rPr>
              <w:t xml:space="preserve">✗</w:t>
            </w:r>
          </w:p>
        </w:tc>
        <w:tc>
          <w:tcPr>
            <w:tcW w:type="dxa" w:w="1750"/>
            <w:shd w:fill="FFFFFF" w:val="clear"/>
            <w:tcMar>
              <w:top w:type="dxa" w:w="60"/>
              <w:left w:type="dxa" w:w="90"/>
              <w:bottom w:type="dxa" w:w="60"/>
              <w:right w:type="dxa" w:w="90"/>
            </w:tcMar>
          </w:tcPr>
          <w:p>
            <w:pPr>
              <w:jc w:val="center"/>
            </w:pPr>
            <w:r>
              <w:rPr>
                <w:rFonts w:ascii="Calibri" w:cs="Calibri" w:eastAsia="Calibri" w:hAnsi="Calibri"/>
                <w:b w:val="false"/>
                <w:bCs w:val="false"/>
                <w:color w:val="475569"/>
                <w:sz w:val="16"/>
                <w:szCs w:val="16"/>
              </w:rPr>
              <w:t xml:space="preserve">✓</w:t>
            </w:r>
          </w:p>
        </w:tc>
        <w:tc>
          <w:tcPr>
            <w:tcW w:type="dxa" w:w="1750"/>
            <w:shd w:fill="FFFFFF" w:val="clear"/>
            <w:tcMar>
              <w:top w:type="dxa" w:w="60"/>
              <w:left w:type="dxa" w:w="90"/>
              <w:bottom w:type="dxa" w:w="60"/>
              <w:right w:type="dxa" w:w="90"/>
            </w:tcMar>
          </w:tcPr>
          <w:p>
            <w:pPr>
              <w:jc w:val="center"/>
            </w:pPr>
            <w:r>
              <w:rPr>
                <w:rFonts w:ascii="Calibri" w:cs="Calibri" w:eastAsia="Calibri" w:hAnsi="Calibri"/>
                <w:b w:val="false"/>
                <w:bCs w:val="false"/>
                <w:color w:val="475569"/>
                <w:sz w:val="16"/>
                <w:szCs w:val="16"/>
              </w:rPr>
              <w:t xml:space="preserve">~</w:t>
            </w:r>
          </w:p>
        </w:tc>
        <w:tc>
          <w:tcPr>
            <w:tcW w:type="dxa" w:w="1750"/>
            <w:shd w:fill="FFFFFF" w:val="clear"/>
            <w:tcMar>
              <w:top w:type="dxa" w:w="60"/>
              <w:left w:type="dxa" w:w="90"/>
              <w:bottom w:type="dxa" w:w="60"/>
              <w:right w:type="dxa" w:w="90"/>
            </w:tcMar>
          </w:tcPr>
          <w:p>
            <w:pPr>
              <w:jc w:val="center"/>
            </w:pPr>
            <w:r>
              <w:rPr>
                <w:rFonts w:ascii="Calibri" w:cs="Calibri" w:eastAsia="Calibri" w:hAnsi="Calibri"/>
                <w:b w:val="false"/>
                <w:bCs w:val="false"/>
                <w:color w:val="475569"/>
                <w:sz w:val="16"/>
                <w:szCs w:val="16"/>
              </w:rPr>
              <w:t xml:space="preserve">~</w:t>
            </w:r>
          </w:p>
        </w:tc>
        <w:tc>
          <w:tcPr>
            <w:tcW w:type="dxa" w:w="1750"/>
            <w:shd w:fill="FFFFFF" w:val="clear"/>
            <w:tcMar>
              <w:top w:type="dxa" w:w="60"/>
              <w:left w:type="dxa" w:w="90"/>
              <w:bottom w:type="dxa" w:w="60"/>
              <w:right w:type="dxa" w:w="90"/>
            </w:tcMar>
          </w:tcPr>
          <w:p>
            <w:pPr>
              <w:jc w:val="center"/>
            </w:pPr>
            <w:r>
              <w:rPr>
                <w:rFonts w:ascii="Calibri" w:cs="Calibri" w:eastAsia="Calibri" w:hAnsi="Calibri"/>
                <w:b w:val="false"/>
                <w:bCs w:val="false"/>
                <w:color w:val="475569"/>
                <w:sz w:val="16"/>
                <w:szCs w:val="16"/>
              </w:rPr>
              <w:t xml:space="preserve">✗</w:t>
            </w:r>
          </w:p>
        </w:tc>
      </w:tr>
      <w:tr>
        <w:tc>
          <w:tcPr>
            <w:tcW w:type="dxa" w:w="1750"/>
            <w:shd w:fill="F8FAFC" w:val="clear"/>
            <w:tcMar>
              <w:top w:type="dxa" w:w="60"/>
              <w:left w:type="dxa" w:w="90"/>
              <w:bottom w:type="dxa" w:w="60"/>
              <w:right w:type="dxa" w:w="90"/>
            </w:tcMar>
          </w:tcPr>
          <w:p>
            <w:pPr>
              <w:jc w:val="left"/>
            </w:pPr>
            <w:r>
              <w:rPr>
                <w:rFonts w:ascii="Calibri" w:cs="Calibri" w:eastAsia="Calibri" w:hAnsi="Calibri"/>
                <w:b/>
                <w:bCs/>
                <w:color w:val="0F172A"/>
                <w:sz w:val="16"/>
                <w:szCs w:val="16"/>
              </w:rPr>
              <w:t xml:space="preserve">Harvest</w:t>
            </w:r>
          </w:p>
        </w:tc>
        <w:tc>
          <w:tcPr>
            <w:tcW w:type="dxa" w:w="1750"/>
            <w:shd w:fill="F8FAFC" w:val="clear"/>
            <w:tcMar>
              <w:top w:type="dxa" w:w="60"/>
              <w:left w:type="dxa" w:w="90"/>
              <w:bottom w:type="dxa" w:w="60"/>
              <w:right w:type="dxa" w:w="90"/>
            </w:tcMar>
          </w:tcPr>
          <w:p>
            <w:pPr>
              <w:jc w:val="center"/>
            </w:pPr>
            <w:r>
              <w:rPr>
                <w:rFonts w:ascii="Calibri" w:cs="Calibri" w:eastAsia="Calibri" w:hAnsi="Calibri"/>
                <w:b w:val="false"/>
                <w:bCs w:val="false"/>
                <w:color w:val="475569"/>
                <w:sz w:val="16"/>
                <w:szCs w:val="16"/>
              </w:rPr>
              <w:t xml:space="preserve">US · time → invoice</w:t>
            </w:r>
          </w:p>
        </w:tc>
        <w:tc>
          <w:tcPr>
            <w:tcW w:type="dxa" w:w="1750"/>
            <w:shd w:fill="F8FAFC" w:val="clear"/>
            <w:tcMar>
              <w:top w:type="dxa" w:w="60"/>
              <w:left w:type="dxa" w:w="90"/>
              <w:bottom w:type="dxa" w:w="60"/>
              <w:right w:type="dxa" w:w="90"/>
            </w:tcMar>
          </w:tcPr>
          <w:p>
            <w:pPr>
              <w:jc w:val="center"/>
            </w:pPr>
            <w:r>
              <w:rPr>
                <w:rFonts w:ascii="Calibri" w:cs="Calibri" w:eastAsia="Calibri" w:hAnsi="Calibri"/>
                <w:b w:val="false"/>
                <w:bCs w:val="false"/>
                <w:color w:val="475569"/>
                <w:sz w:val="16"/>
                <w:szCs w:val="16"/>
              </w:rPr>
              <w:t xml:space="preserve">~</w:t>
            </w:r>
          </w:p>
        </w:tc>
        <w:tc>
          <w:tcPr>
            <w:tcW w:type="dxa" w:w="1750"/>
            <w:shd w:fill="F8FAFC" w:val="clear"/>
            <w:tcMar>
              <w:top w:type="dxa" w:w="60"/>
              <w:left w:type="dxa" w:w="90"/>
              <w:bottom w:type="dxa" w:w="60"/>
              <w:right w:type="dxa" w:w="90"/>
            </w:tcMar>
          </w:tcPr>
          <w:p>
            <w:pPr>
              <w:jc w:val="center"/>
            </w:pPr>
            <w:r>
              <w:rPr>
                <w:rFonts w:ascii="Calibri" w:cs="Calibri" w:eastAsia="Calibri" w:hAnsi="Calibri"/>
                <w:b w:val="false"/>
                <w:bCs w:val="false"/>
                <w:color w:val="475569"/>
                <w:sz w:val="16"/>
                <w:szCs w:val="16"/>
              </w:rPr>
              <w:t xml:space="preserve">~</w:t>
            </w:r>
          </w:p>
        </w:tc>
        <w:tc>
          <w:tcPr>
            <w:tcW w:type="dxa" w:w="1750"/>
            <w:shd w:fill="F8FAFC" w:val="clear"/>
            <w:tcMar>
              <w:top w:type="dxa" w:w="60"/>
              <w:left w:type="dxa" w:w="90"/>
              <w:bottom w:type="dxa" w:w="60"/>
              <w:right w:type="dxa" w:w="90"/>
            </w:tcMar>
          </w:tcPr>
          <w:p>
            <w:pPr>
              <w:jc w:val="center"/>
            </w:pPr>
            <w:r>
              <w:rPr>
                <w:rFonts w:ascii="Calibri" w:cs="Calibri" w:eastAsia="Calibri" w:hAnsi="Calibri"/>
                <w:b w:val="false"/>
                <w:bCs w:val="false"/>
                <w:color w:val="475569"/>
                <w:sz w:val="16"/>
                <w:szCs w:val="16"/>
              </w:rPr>
              <w:t xml:space="preserve">✓</w:t>
            </w:r>
          </w:p>
        </w:tc>
        <w:tc>
          <w:tcPr>
            <w:tcW w:type="dxa" w:w="1750"/>
            <w:shd w:fill="F8FAFC" w:val="clear"/>
            <w:tcMar>
              <w:top w:type="dxa" w:w="60"/>
              <w:left w:type="dxa" w:w="90"/>
              <w:bottom w:type="dxa" w:w="60"/>
              <w:right w:type="dxa" w:w="90"/>
            </w:tcMar>
          </w:tcPr>
          <w:p>
            <w:pPr>
              <w:jc w:val="center"/>
            </w:pPr>
            <w:r>
              <w:rPr>
                <w:rFonts w:ascii="Calibri" w:cs="Calibri" w:eastAsia="Calibri" w:hAnsi="Calibri"/>
                <w:b w:val="false"/>
                <w:bCs w:val="false"/>
                <w:color w:val="475569"/>
                <w:sz w:val="16"/>
                <w:szCs w:val="16"/>
              </w:rPr>
              <w:t xml:space="preserve">~</w:t>
            </w:r>
          </w:p>
        </w:tc>
        <w:tc>
          <w:tcPr>
            <w:tcW w:type="dxa" w:w="1750"/>
            <w:shd w:fill="F8FAFC" w:val="clear"/>
            <w:tcMar>
              <w:top w:type="dxa" w:w="60"/>
              <w:left w:type="dxa" w:w="90"/>
              <w:bottom w:type="dxa" w:w="60"/>
              <w:right w:type="dxa" w:w="90"/>
            </w:tcMar>
          </w:tcPr>
          <w:p>
            <w:pPr>
              <w:jc w:val="center"/>
            </w:pPr>
            <w:r>
              <w:rPr>
                <w:rFonts w:ascii="Calibri" w:cs="Calibri" w:eastAsia="Calibri" w:hAnsi="Calibri"/>
                <w:b w:val="false"/>
                <w:bCs w:val="false"/>
                <w:color w:val="475569"/>
                <w:sz w:val="16"/>
                <w:szCs w:val="16"/>
              </w:rPr>
              <w:t xml:space="preserve">~</w:t>
            </w:r>
          </w:p>
        </w:tc>
        <w:tc>
          <w:tcPr>
            <w:tcW w:type="dxa" w:w="1750"/>
            <w:shd w:fill="F8FAFC" w:val="clear"/>
            <w:tcMar>
              <w:top w:type="dxa" w:w="60"/>
              <w:left w:type="dxa" w:w="90"/>
              <w:bottom w:type="dxa" w:w="60"/>
              <w:right w:type="dxa" w:w="90"/>
            </w:tcMar>
          </w:tcPr>
          <w:p>
            <w:pPr>
              <w:jc w:val="center"/>
            </w:pPr>
            <w:r>
              <w:rPr>
                <w:rFonts w:ascii="Calibri" w:cs="Calibri" w:eastAsia="Calibri" w:hAnsi="Calibri"/>
                <w:b w:val="false"/>
                <w:bCs w:val="false"/>
                <w:color w:val="475569"/>
                <w:sz w:val="16"/>
                <w:szCs w:val="16"/>
              </w:rPr>
              <w:t xml:space="preserve">✗</w:t>
            </w:r>
          </w:p>
        </w:tc>
      </w:tr>
      <w:tr>
        <w:tc>
          <w:tcPr>
            <w:tcW w:type="dxa" w:w="1750"/>
            <w:shd w:fill="FFFFFF" w:val="clear"/>
            <w:tcMar>
              <w:top w:type="dxa" w:w="60"/>
              <w:left w:type="dxa" w:w="90"/>
              <w:bottom w:type="dxa" w:w="60"/>
              <w:right w:type="dxa" w:w="90"/>
            </w:tcMar>
          </w:tcPr>
          <w:p>
            <w:pPr>
              <w:jc w:val="left"/>
            </w:pPr>
            <w:r>
              <w:rPr>
                <w:rFonts w:ascii="Calibri" w:cs="Calibri" w:eastAsia="Calibri" w:hAnsi="Calibri"/>
                <w:b/>
                <w:bCs/>
                <w:color w:val="0F172A"/>
                <w:sz w:val="16"/>
                <w:szCs w:val="16"/>
              </w:rPr>
              <w:t xml:space="preserve">MOCO</w:t>
            </w:r>
          </w:p>
        </w:tc>
        <w:tc>
          <w:tcPr>
            <w:tcW w:type="dxa" w:w="1750"/>
            <w:shd w:fill="FFFFFF" w:val="clear"/>
            <w:tcMar>
              <w:top w:type="dxa" w:w="60"/>
              <w:left w:type="dxa" w:w="90"/>
              <w:bottom w:type="dxa" w:w="60"/>
              <w:right w:type="dxa" w:w="90"/>
            </w:tcMar>
          </w:tcPr>
          <w:p>
            <w:pPr>
              <w:jc w:val="center"/>
            </w:pPr>
            <w:r>
              <w:rPr>
                <w:rFonts w:ascii="Calibri" w:cs="Calibri" w:eastAsia="Calibri" w:hAnsi="Calibri"/>
                <w:b w:val="false"/>
                <w:bCs w:val="false"/>
                <w:color w:val="475569"/>
                <w:sz w:val="16"/>
                <w:szCs w:val="16"/>
              </w:rPr>
              <w:t xml:space="preserve">DACH · agencies</w:t>
            </w:r>
          </w:p>
        </w:tc>
        <w:tc>
          <w:tcPr>
            <w:tcW w:type="dxa" w:w="1750"/>
            <w:shd w:fill="FFFFFF" w:val="clear"/>
            <w:tcMar>
              <w:top w:type="dxa" w:w="60"/>
              <w:left w:type="dxa" w:w="90"/>
              <w:bottom w:type="dxa" w:w="60"/>
              <w:right w:type="dxa" w:w="90"/>
            </w:tcMar>
          </w:tcPr>
          <w:p>
            <w:pPr>
              <w:jc w:val="center"/>
            </w:pPr>
            <w:r>
              <w:rPr>
                <w:rFonts w:ascii="Calibri" w:cs="Calibri" w:eastAsia="Calibri" w:hAnsi="Calibri"/>
                <w:b w:val="false"/>
                <w:bCs w:val="false"/>
                <w:color w:val="475569"/>
                <w:sz w:val="16"/>
                <w:szCs w:val="16"/>
              </w:rPr>
              <w:t xml:space="preserve">~</w:t>
            </w:r>
          </w:p>
        </w:tc>
        <w:tc>
          <w:tcPr>
            <w:tcW w:type="dxa" w:w="1750"/>
            <w:shd w:fill="FFFFFF" w:val="clear"/>
            <w:tcMar>
              <w:top w:type="dxa" w:w="60"/>
              <w:left w:type="dxa" w:w="90"/>
              <w:bottom w:type="dxa" w:w="60"/>
              <w:right w:type="dxa" w:w="90"/>
            </w:tcMar>
          </w:tcPr>
          <w:p>
            <w:pPr>
              <w:jc w:val="center"/>
            </w:pPr>
            <w:r>
              <w:rPr>
                <w:rFonts w:ascii="Calibri" w:cs="Calibri" w:eastAsia="Calibri" w:hAnsi="Calibri"/>
                <w:b w:val="false"/>
                <w:bCs w:val="false"/>
                <w:color w:val="475569"/>
                <w:sz w:val="16"/>
                <w:szCs w:val="16"/>
              </w:rPr>
              <w:t xml:space="preserve">~</w:t>
            </w:r>
          </w:p>
        </w:tc>
        <w:tc>
          <w:tcPr>
            <w:tcW w:type="dxa" w:w="1750"/>
            <w:shd w:fill="FFFFFF" w:val="clear"/>
            <w:tcMar>
              <w:top w:type="dxa" w:w="60"/>
              <w:left w:type="dxa" w:w="90"/>
              <w:bottom w:type="dxa" w:w="60"/>
              <w:right w:type="dxa" w:w="90"/>
            </w:tcMar>
          </w:tcPr>
          <w:p>
            <w:pPr>
              <w:jc w:val="center"/>
            </w:pPr>
            <w:r>
              <w:rPr>
                <w:rFonts w:ascii="Calibri" w:cs="Calibri" w:eastAsia="Calibri" w:hAnsi="Calibri"/>
                <w:b w:val="false"/>
                <w:bCs w:val="false"/>
                <w:color w:val="475569"/>
                <w:sz w:val="16"/>
                <w:szCs w:val="16"/>
              </w:rPr>
              <w:t xml:space="preserve">✓</w:t>
            </w:r>
          </w:p>
        </w:tc>
        <w:tc>
          <w:tcPr>
            <w:tcW w:type="dxa" w:w="1750"/>
            <w:shd w:fill="FFFFFF" w:val="clear"/>
            <w:tcMar>
              <w:top w:type="dxa" w:w="60"/>
              <w:left w:type="dxa" w:w="90"/>
              <w:bottom w:type="dxa" w:w="60"/>
              <w:right w:type="dxa" w:w="90"/>
            </w:tcMar>
          </w:tcPr>
          <w:p>
            <w:pPr>
              <w:jc w:val="center"/>
            </w:pPr>
            <w:r>
              <w:rPr>
                <w:rFonts w:ascii="Calibri" w:cs="Calibri" w:eastAsia="Calibri" w:hAnsi="Calibri"/>
                <w:b w:val="false"/>
                <w:bCs w:val="false"/>
                <w:color w:val="475569"/>
                <w:sz w:val="16"/>
                <w:szCs w:val="16"/>
              </w:rPr>
              <w:t xml:space="preserve">✓</w:t>
            </w:r>
          </w:p>
        </w:tc>
        <w:tc>
          <w:tcPr>
            <w:tcW w:type="dxa" w:w="1750"/>
            <w:shd w:fill="FFFFFF" w:val="clear"/>
            <w:tcMar>
              <w:top w:type="dxa" w:w="60"/>
              <w:left w:type="dxa" w:w="90"/>
              <w:bottom w:type="dxa" w:w="60"/>
              <w:right w:type="dxa" w:w="90"/>
            </w:tcMar>
          </w:tcPr>
          <w:p>
            <w:pPr>
              <w:jc w:val="center"/>
            </w:pPr>
            <w:r>
              <w:rPr>
                <w:rFonts w:ascii="Calibri" w:cs="Calibri" w:eastAsia="Calibri" w:hAnsi="Calibri"/>
                <w:b w:val="false"/>
                <w:bCs w:val="false"/>
                <w:color w:val="475569"/>
                <w:sz w:val="16"/>
                <w:szCs w:val="16"/>
              </w:rPr>
              <w:t xml:space="preserve">✗</w:t>
            </w:r>
          </w:p>
        </w:tc>
        <w:tc>
          <w:tcPr>
            <w:tcW w:type="dxa" w:w="1750"/>
            <w:shd w:fill="FFFFFF" w:val="clear"/>
            <w:tcMar>
              <w:top w:type="dxa" w:w="60"/>
              <w:left w:type="dxa" w:w="90"/>
              <w:bottom w:type="dxa" w:w="60"/>
              <w:right w:type="dxa" w:w="90"/>
            </w:tcMar>
          </w:tcPr>
          <w:p>
            <w:pPr>
              <w:jc w:val="center"/>
            </w:pPr>
            <w:r>
              <w:rPr>
                <w:rFonts w:ascii="Calibri" w:cs="Calibri" w:eastAsia="Calibri" w:hAnsi="Calibri"/>
                <w:b w:val="false"/>
                <w:bCs w:val="false"/>
                <w:color w:val="475569"/>
                <w:sz w:val="16"/>
                <w:szCs w:val="16"/>
              </w:rPr>
              <w:t xml:space="preserve">~</w:t>
            </w:r>
          </w:p>
        </w:tc>
      </w:tr>
      <w:tr>
        <w:tc>
          <w:tcPr>
            <w:tcW w:type="dxa" w:w="1750"/>
            <w:shd w:fill="F8FAFC" w:val="clear"/>
            <w:tcMar>
              <w:top w:type="dxa" w:w="60"/>
              <w:left w:type="dxa" w:w="90"/>
              <w:bottom w:type="dxa" w:w="60"/>
              <w:right w:type="dxa" w:w="90"/>
            </w:tcMar>
          </w:tcPr>
          <w:p>
            <w:pPr>
              <w:jc w:val="left"/>
            </w:pPr>
            <w:r>
              <w:rPr>
                <w:rFonts w:ascii="Calibri" w:cs="Calibri" w:eastAsia="Calibri" w:hAnsi="Calibri"/>
                <w:b/>
                <w:bCs/>
                <w:color w:val="0F172A"/>
                <w:sz w:val="16"/>
                <w:szCs w:val="16"/>
              </w:rPr>
              <w:t xml:space="preserve">Clockodo</w:t>
            </w:r>
          </w:p>
        </w:tc>
        <w:tc>
          <w:tcPr>
            <w:tcW w:type="dxa" w:w="1750"/>
            <w:shd w:fill="F8FAFC" w:val="clear"/>
            <w:tcMar>
              <w:top w:type="dxa" w:w="60"/>
              <w:left w:type="dxa" w:w="90"/>
              <w:bottom w:type="dxa" w:w="60"/>
              <w:right w:type="dxa" w:w="90"/>
            </w:tcMar>
          </w:tcPr>
          <w:p>
            <w:pPr>
              <w:jc w:val="center"/>
            </w:pPr>
            <w:r>
              <w:rPr>
                <w:rFonts w:ascii="Calibri" w:cs="Calibri" w:eastAsia="Calibri" w:hAnsi="Calibri"/>
                <w:b w:val="false"/>
                <w:bCs w:val="false"/>
                <w:color w:val="475569"/>
                <w:sz w:val="16"/>
                <w:szCs w:val="16"/>
              </w:rPr>
              <w:t xml:space="preserve">DACH · SMB</w:t>
            </w:r>
          </w:p>
        </w:tc>
        <w:tc>
          <w:tcPr>
            <w:tcW w:type="dxa" w:w="1750"/>
            <w:shd w:fill="F8FAFC" w:val="clear"/>
            <w:tcMar>
              <w:top w:type="dxa" w:w="60"/>
              <w:left w:type="dxa" w:w="90"/>
              <w:bottom w:type="dxa" w:w="60"/>
              <w:right w:type="dxa" w:w="90"/>
            </w:tcMar>
          </w:tcPr>
          <w:p>
            <w:pPr>
              <w:jc w:val="center"/>
            </w:pPr>
            <w:r>
              <w:rPr>
                <w:rFonts w:ascii="Calibri" w:cs="Calibri" w:eastAsia="Calibri" w:hAnsi="Calibri"/>
                <w:b w:val="false"/>
                <w:bCs w:val="false"/>
                <w:color w:val="475569"/>
                <w:sz w:val="16"/>
                <w:szCs w:val="16"/>
              </w:rPr>
              <w:t xml:space="preserve">~</w:t>
            </w:r>
          </w:p>
        </w:tc>
        <w:tc>
          <w:tcPr>
            <w:tcW w:type="dxa" w:w="1750"/>
            <w:shd w:fill="F8FAFC" w:val="clear"/>
            <w:tcMar>
              <w:top w:type="dxa" w:w="60"/>
              <w:left w:type="dxa" w:w="90"/>
              <w:bottom w:type="dxa" w:w="60"/>
              <w:right w:type="dxa" w:w="90"/>
            </w:tcMar>
          </w:tcPr>
          <w:p>
            <w:pPr>
              <w:jc w:val="center"/>
            </w:pPr>
            <w:r>
              <w:rPr>
                <w:rFonts w:ascii="Calibri" w:cs="Calibri" w:eastAsia="Calibri" w:hAnsi="Calibri"/>
                <w:b w:val="false"/>
                <w:bCs w:val="false"/>
                <w:color w:val="475569"/>
                <w:sz w:val="16"/>
                <w:szCs w:val="16"/>
              </w:rPr>
              <w:t xml:space="preserve">✓</w:t>
            </w:r>
          </w:p>
        </w:tc>
        <w:tc>
          <w:tcPr>
            <w:tcW w:type="dxa" w:w="1750"/>
            <w:shd w:fill="F8FAFC" w:val="clear"/>
            <w:tcMar>
              <w:top w:type="dxa" w:w="60"/>
              <w:left w:type="dxa" w:w="90"/>
              <w:bottom w:type="dxa" w:w="60"/>
              <w:right w:type="dxa" w:w="90"/>
            </w:tcMar>
          </w:tcPr>
          <w:p>
            <w:pPr>
              <w:jc w:val="center"/>
            </w:pPr>
            <w:r>
              <w:rPr>
                <w:rFonts w:ascii="Calibri" w:cs="Calibri" w:eastAsia="Calibri" w:hAnsi="Calibri"/>
                <w:b w:val="false"/>
                <w:bCs w:val="false"/>
                <w:color w:val="475569"/>
                <w:sz w:val="16"/>
                <w:szCs w:val="16"/>
              </w:rPr>
              <w:t xml:space="preserve">✓</w:t>
            </w:r>
          </w:p>
        </w:tc>
        <w:tc>
          <w:tcPr>
            <w:tcW w:type="dxa" w:w="1750"/>
            <w:shd w:fill="F8FAFC" w:val="clear"/>
            <w:tcMar>
              <w:top w:type="dxa" w:w="60"/>
              <w:left w:type="dxa" w:w="90"/>
              <w:bottom w:type="dxa" w:w="60"/>
              <w:right w:type="dxa" w:w="90"/>
            </w:tcMar>
          </w:tcPr>
          <w:p>
            <w:pPr>
              <w:jc w:val="center"/>
            </w:pPr>
            <w:r>
              <w:rPr>
                <w:rFonts w:ascii="Calibri" w:cs="Calibri" w:eastAsia="Calibri" w:hAnsi="Calibri"/>
                <w:b w:val="false"/>
                <w:bCs w:val="false"/>
                <w:color w:val="475569"/>
                <w:sz w:val="16"/>
                <w:szCs w:val="16"/>
              </w:rPr>
              <w:t xml:space="preserve">~</w:t>
            </w:r>
          </w:p>
        </w:tc>
        <w:tc>
          <w:tcPr>
            <w:tcW w:type="dxa" w:w="1750"/>
            <w:shd w:fill="F8FAFC" w:val="clear"/>
            <w:tcMar>
              <w:top w:type="dxa" w:w="60"/>
              <w:left w:type="dxa" w:w="90"/>
              <w:bottom w:type="dxa" w:w="60"/>
              <w:right w:type="dxa" w:w="90"/>
            </w:tcMar>
          </w:tcPr>
          <w:p>
            <w:pPr>
              <w:jc w:val="center"/>
            </w:pPr>
            <w:r>
              <w:rPr>
                <w:rFonts w:ascii="Calibri" w:cs="Calibri" w:eastAsia="Calibri" w:hAnsi="Calibri"/>
                <w:b w:val="false"/>
                <w:bCs w:val="false"/>
                <w:color w:val="475569"/>
                <w:sz w:val="16"/>
                <w:szCs w:val="16"/>
              </w:rPr>
              <w:t xml:space="preserve">✗</w:t>
            </w:r>
          </w:p>
        </w:tc>
        <w:tc>
          <w:tcPr>
            <w:tcW w:type="dxa" w:w="1750"/>
            <w:shd w:fill="F8FAFC" w:val="clear"/>
            <w:tcMar>
              <w:top w:type="dxa" w:w="60"/>
              <w:left w:type="dxa" w:w="90"/>
              <w:bottom w:type="dxa" w:w="60"/>
              <w:right w:type="dxa" w:w="90"/>
            </w:tcMar>
          </w:tcPr>
          <w:p>
            <w:pPr>
              <w:jc w:val="center"/>
            </w:pPr>
            <w:r>
              <w:rPr>
                <w:rFonts w:ascii="Calibri" w:cs="Calibri" w:eastAsia="Calibri" w:hAnsi="Calibri"/>
                <w:b w:val="false"/>
                <w:bCs w:val="false"/>
                <w:color w:val="475569"/>
                <w:sz w:val="16"/>
                <w:szCs w:val="16"/>
              </w:rPr>
              <w:t xml:space="preserve">~</w:t>
            </w:r>
          </w:p>
        </w:tc>
      </w:tr>
      <w:tr>
        <w:tc>
          <w:tcPr>
            <w:tcW w:type="dxa" w:w="1750"/>
            <w:shd w:fill="FFFFFF" w:val="clear"/>
            <w:tcMar>
              <w:top w:type="dxa" w:w="60"/>
              <w:left w:type="dxa" w:w="90"/>
              <w:bottom w:type="dxa" w:w="60"/>
              <w:right w:type="dxa" w:w="90"/>
            </w:tcMar>
          </w:tcPr>
          <w:p>
            <w:pPr>
              <w:jc w:val="left"/>
            </w:pPr>
            <w:r>
              <w:rPr>
                <w:rFonts w:ascii="Calibri" w:cs="Calibri" w:eastAsia="Calibri" w:hAnsi="Calibri"/>
                <w:b/>
                <w:bCs/>
                <w:color w:val="0F172A"/>
                <w:sz w:val="16"/>
                <w:szCs w:val="16"/>
              </w:rPr>
              <w:t xml:space="preserve">Bexio</w:t>
            </w:r>
          </w:p>
        </w:tc>
        <w:tc>
          <w:tcPr>
            <w:tcW w:type="dxa" w:w="1750"/>
            <w:shd w:fill="FFFFFF" w:val="clear"/>
            <w:tcMar>
              <w:top w:type="dxa" w:w="60"/>
              <w:left w:type="dxa" w:w="90"/>
              <w:bottom w:type="dxa" w:w="60"/>
              <w:right w:type="dxa" w:w="90"/>
            </w:tcMar>
          </w:tcPr>
          <w:p>
            <w:pPr>
              <w:jc w:val="center"/>
            </w:pPr>
            <w:r>
              <w:rPr>
                <w:rFonts w:ascii="Calibri" w:cs="Calibri" w:eastAsia="Calibri" w:hAnsi="Calibri"/>
                <w:b w:val="false"/>
                <w:bCs w:val="false"/>
                <w:color w:val="475569"/>
                <w:sz w:val="16"/>
                <w:szCs w:val="16"/>
              </w:rPr>
              <w:t xml:space="preserve">CH · ERP / accounting</w:t>
            </w:r>
          </w:p>
        </w:tc>
        <w:tc>
          <w:tcPr>
            <w:tcW w:type="dxa" w:w="1750"/>
            <w:shd w:fill="FFFFFF" w:val="clear"/>
            <w:tcMar>
              <w:top w:type="dxa" w:w="60"/>
              <w:left w:type="dxa" w:w="90"/>
              <w:bottom w:type="dxa" w:w="60"/>
              <w:right w:type="dxa" w:w="90"/>
            </w:tcMar>
          </w:tcPr>
          <w:p>
            <w:pPr>
              <w:jc w:val="center"/>
            </w:pPr>
            <w:r>
              <w:rPr>
                <w:rFonts w:ascii="Calibri" w:cs="Calibri" w:eastAsia="Calibri" w:hAnsi="Calibri"/>
                <w:b w:val="false"/>
                <w:bCs w:val="false"/>
                <w:color w:val="475569"/>
                <w:sz w:val="16"/>
                <w:szCs w:val="16"/>
              </w:rPr>
              <w:t xml:space="preserve">~</w:t>
            </w:r>
          </w:p>
        </w:tc>
        <w:tc>
          <w:tcPr>
            <w:tcW w:type="dxa" w:w="1750"/>
            <w:shd w:fill="FFFFFF" w:val="clear"/>
            <w:tcMar>
              <w:top w:type="dxa" w:w="60"/>
              <w:left w:type="dxa" w:w="90"/>
              <w:bottom w:type="dxa" w:w="60"/>
              <w:right w:type="dxa" w:w="90"/>
            </w:tcMar>
          </w:tcPr>
          <w:p>
            <w:pPr>
              <w:jc w:val="center"/>
            </w:pPr>
            <w:r>
              <w:rPr>
                <w:rFonts w:ascii="Calibri" w:cs="Calibri" w:eastAsia="Calibri" w:hAnsi="Calibri"/>
                <w:b w:val="false"/>
                <w:bCs w:val="false"/>
                <w:color w:val="475569"/>
                <w:sz w:val="16"/>
                <w:szCs w:val="16"/>
              </w:rPr>
              <w:t xml:space="preserve">~</w:t>
            </w:r>
          </w:p>
        </w:tc>
        <w:tc>
          <w:tcPr>
            <w:tcW w:type="dxa" w:w="1750"/>
            <w:shd w:fill="FFFFFF" w:val="clear"/>
            <w:tcMar>
              <w:top w:type="dxa" w:w="60"/>
              <w:left w:type="dxa" w:w="90"/>
              <w:bottom w:type="dxa" w:w="60"/>
              <w:right w:type="dxa" w:w="90"/>
            </w:tcMar>
          </w:tcPr>
          <w:p>
            <w:pPr>
              <w:jc w:val="center"/>
            </w:pPr>
            <w:r>
              <w:rPr>
                <w:rFonts w:ascii="Calibri" w:cs="Calibri" w:eastAsia="Calibri" w:hAnsi="Calibri"/>
                <w:b w:val="false"/>
                <w:bCs w:val="false"/>
                <w:color w:val="475569"/>
                <w:sz w:val="16"/>
                <w:szCs w:val="16"/>
              </w:rPr>
              <w:t xml:space="preserve">✓</w:t>
            </w:r>
          </w:p>
        </w:tc>
        <w:tc>
          <w:tcPr>
            <w:tcW w:type="dxa" w:w="1750"/>
            <w:shd w:fill="FFFFFF" w:val="clear"/>
            <w:tcMar>
              <w:top w:type="dxa" w:w="60"/>
              <w:left w:type="dxa" w:w="90"/>
              <w:bottom w:type="dxa" w:w="60"/>
              <w:right w:type="dxa" w:w="90"/>
            </w:tcMar>
          </w:tcPr>
          <w:p>
            <w:pPr>
              <w:jc w:val="center"/>
            </w:pPr>
            <w:r>
              <w:rPr>
                <w:rFonts w:ascii="Calibri" w:cs="Calibri" w:eastAsia="Calibri" w:hAnsi="Calibri"/>
                <w:b w:val="false"/>
                <w:bCs w:val="false"/>
                <w:color w:val="475569"/>
                <w:sz w:val="16"/>
                <w:szCs w:val="16"/>
              </w:rPr>
              <w:t xml:space="preserve">~</w:t>
            </w:r>
          </w:p>
        </w:tc>
        <w:tc>
          <w:tcPr>
            <w:tcW w:type="dxa" w:w="1750"/>
            <w:shd w:fill="FFFFFF" w:val="clear"/>
            <w:tcMar>
              <w:top w:type="dxa" w:w="60"/>
              <w:left w:type="dxa" w:w="90"/>
              <w:bottom w:type="dxa" w:w="60"/>
              <w:right w:type="dxa" w:w="90"/>
            </w:tcMar>
          </w:tcPr>
          <w:p>
            <w:pPr>
              <w:jc w:val="center"/>
            </w:pPr>
            <w:r>
              <w:rPr>
                <w:rFonts w:ascii="Calibri" w:cs="Calibri" w:eastAsia="Calibri" w:hAnsi="Calibri"/>
                <w:b w:val="false"/>
                <w:bCs w:val="false"/>
                <w:color w:val="475569"/>
                <w:sz w:val="16"/>
                <w:szCs w:val="16"/>
              </w:rPr>
              <w:t xml:space="preserve">✗</w:t>
            </w:r>
          </w:p>
        </w:tc>
        <w:tc>
          <w:tcPr>
            <w:tcW w:type="dxa" w:w="1750"/>
            <w:shd w:fill="FFFFFF" w:val="clear"/>
            <w:tcMar>
              <w:top w:type="dxa" w:w="60"/>
              <w:left w:type="dxa" w:w="90"/>
              <w:bottom w:type="dxa" w:w="60"/>
              <w:right w:type="dxa" w:w="90"/>
            </w:tcMar>
          </w:tcPr>
          <w:p>
            <w:pPr>
              <w:jc w:val="center"/>
            </w:pPr>
            <w:r>
              <w:rPr>
                <w:rFonts w:ascii="Calibri" w:cs="Calibri" w:eastAsia="Calibri" w:hAnsi="Calibri"/>
                <w:b w:val="false"/>
                <w:bCs w:val="false"/>
                <w:color w:val="475569"/>
                <w:sz w:val="16"/>
                <w:szCs w:val="16"/>
              </w:rPr>
              <w:t xml:space="preserve">✓</w:t>
            </w:r>
          </w:p>
        </w:tc>
      </w:tr>
      <w:tr>
        <w:tc>
          <w:tcPr>
            <w:tcW w:type="dxa" w:w="1750"/>
            <w:shd w:fill="F8FAFC" w:val="clear"/>
            <w:tcMar>
              <w:top w:type="dxa" w:w="60"/>
              <w:left w:type="dxa" w:w="90"/>
              <w:bottom w:type="dxa" w:w="60"/>
              <w:right w:type="dxa" w:w="90"/>
            </w:tcMar>
          </w:tcPr>
          <w:p>
            <w:pPr>
              <w:jc w:val="left"/>
            </w:pPr>
            <w:r>
              <w:rPr>
                <w:rFonts w:ascii="Calibri" w:cs="Calibri" w:eastAsia="Calibri" w:hAnsi="Calibri"/>
                <w:b/>
                <w:bCs/>
                <w:color w:val="0F172A"/>
                <w:sz w:val="16"/>
                <w:szCs w:val="16"/>
              </w:rPr>
              <w:t xml:space="preserve">absence.io</w:t>
            </w:r>
          </w:p>
        </w:tc>
        <w:tc>
          <w:tcPr>
            <w:tcW w:type="dxa" w:w="1750"/>
            <w:shd w:fill="F8FAFC" w:val="clear"/>
            <w:tcMar>
              <w:top w:type="dxa" w:w="60"/>
              <w:left w:type="dxa" w:w="90"/>
              <w:bottom w:type="dxa" w:w="60"/>
              <w:right w:type="dxa" w:w="90"/>
            </w:tcMar>
          </w:tcPr>
          <w:p>
            <w:pPr>
              <w:jc w:val="center"/>
            </w:pPr>
            <w:r>
              <w:rPr>
                <w:rFonts w:ascii="Calibri" w:cs="Calibri" w:eastAsia="Calibri" w:hAnsi="Calibri"/>
                <w:b w:val="false"/>
                <w:bCs w:val="false"/>
                <w:color w:val="475569"/>
                <w:sz w:val="16"/>
                <w:szCs w:val="16"/>
              </w:rPr>
              <w:t xml:space="preserve">DACH · absences</w:t>
            </w:r>
          </w:p>
        </w:tc>
        <w:tc>
          <w:tcPr>
            <w:tcW w:type="dxa" w:w="1750"/>
            <w:shd w:fill="F8FAFC" w:val="clear"/>
            <w:tcMar>
              <w:top w:type="dxa" w:w="60"/>
              <w:left w:type="dxa" w:w="90"/>
              <w:bottom w:type="dxa" w:w="60"/>
              <w:right w:type="dxa" w:w="90"/>
            </w:tcMar>
          </w:tcPr>
          <w:p>
            <w:pPr>
              <w:jc w:val="center"/>
            </w:pPr>
            <w:r>
              <w:rPr>
                <w:rFonts w:ascii="Calibri" w:cs="Calibri" w:eastAsia="Calibri" w:hAnsi="Calibri"/>
                <w:b w:val="false"/>
                <w:bCs w:val="false"/>
                <w:color w:val="475569"/>
                <w:sz w:val="16"/>
                <w:szCs w:val="16"/>
              </w:rPr>
              <w:t xml:space="preserve">✗</w:t>
            </w:r>
          </w:p>
        </w:tc>
        <w:tc>
          <w:tcPr>
            <w:tcW w:type="dxa" w:w="1750"/>
            <w:shd w:fill="F8FAFC" w:val="clear"/>
            <w:tcMar>
              <w:top w:type="dxa" w:w="60"/>
              <w:left w:type="dxa" w:w="90"/>
              <w:bottom w:type="dxa" w:w="60"/>
              <w:right w:type="dxa" w:w="90"/>
            </w:tcMar>
          </w:tcPr>
          <w:p>
            <w:pPr>
              <w:jc w:val="center"/>
            </w:pPr>
            <w:r>
              <w:rPr>
                <w:rFonts w:ascii="Calibri" w:cs="Calibri" w:eastAsia="Calibri" w:hAnsi="Calibri"/>
                <w:b w:val="false"/>
                <w:bCs w:val="false"/>
                <w:color w:val="475569"/>
                <w:sz w:val="16"/>
                <w:szCs w:val="16"/>
              </w:rPr>
              <w:t xml:space="preserve">✓</w:t>
            </w:r>
          </w:p>
        </w:tc>
        <w:tc>
          <w:tcPr>
            <w:tcW w:type="dxa" w:w="1750"/>
            <w:shd w:fill="F8FAFC" w:val="clear"/>
            <w:tcMar>
              <w:top w:type="dxa" w:w="60"/>
              <w:left w:type="dxa" w:w="90"/>
              <w:bottom w:type="dxa" w:w="60"/>
              <w:right w:type="dxa" w:w="90"/>
            </w:tcMar>
          </w:tcPr>
          <w:p>
            <w:pPr>
              <w:jc w:val="center"/>
            </w:pPr>
            <w:r>
              <w:rPr>
                <w:rFonts w:ascii="Calibri" w:cs="Calibri" w:eastAsia="Calibri" w:hAnsi="Calibri"/>
                <w:b w:val="false"/>
                <w:bCs w:val="false"/>
                <w:color w:val="475569"/>
                <w:sz w:val="16"/>
                <w:szCs w:val="16"/>
              </w:rPr>
              <w:t xml:space="preserve">✗</w:t>
            </w:r>
          </w:p>
        </w:tc>
        <w:tc>
          <w:tcPr>
            <w:tcW w:type="dxa" w:w="1750"/>
            <w:shd w:fill="F8FAFC" w:val="clear"/>
            <w:tcMar>
              <w:top w:type="dxa" w:w="60"/>
              <w:left w:type="dxa" w:w="90"/>
              <w:bottom w:type="dxa" w:w="60"/>
              <w:right w:type="dxa" w:w="90"/>
            </w:tcMar>
          </w:tcPr>
          <w:p>
            <w:pPr>
              <w:jc w:val="center"/>
            </w:pPr>
            <w:r>
              <w:rPr>
                <w:rFonts w:ascii="Calibri" w:cs="Calibri" w:eastAsia="Calibri" w:hAnsi="Calibri"/>
                <w:b w:val="false"/>
                <w:bCs w:val="false"/>
                <w:color w:val="475569"/>
                <w:sz w:val="16"/>
                <w:szCs w:val="16"/>
              </w:rPr>
              <w:t xml:space="preserve">~</w:t>
            </w:r>
          </w:p>
        </w:tc>
        <w:tc>
          <w:tcPr>
            <w:tcW w:type="dxa" w:w="1750"/>
            <w:shd w:fill="F8FAFC" w:val="clear"/>
            <w:tcMar>
              <w:top w:type="dxa" w:w="60"/>
              <w:left w:type="dxa" w:w="90"/>
              <w:bottom w:type="dxa" w:w="60"/>
              <w:right w:type="dxa" w:w="90"/>
            </w:tcMar>
          </w:tcPr>
          <w:p>
            <w:pPr>
              <w:jc w:val="center"/>
            </w:pPr>
            <w:r>
              <w:rPr>
                <w:rFonts w:ascii="Calibri" w:cs="Calibri" w:eastAsia="Calibri" w:hAnsi="Calibri"/>
                <w:b w:val="false"/>
                <w:bCs w:val="false"/>
                <w:color w:val="475569"/>
                <w:sz w:val="16"/>
                <w:szCs w:val="16"/>
              </w:rPr>
              <w:t xml:space="preserve">✗</w:t>
            </w:r>
          </w:p>
        </w:tc>
        <w:tc>
          <w:tcPr>
            <w:tcW w:type="dxa" w:w="1750"/>
            <w:shd w:fill="F8FAFC" w:val="clear"/>
            <w:tcMar>
              <w:top w:type="dxa" w:w="60"/>
              <w:left w:type="dxa" w:w="90"/>
              <w:bottom w:type="dxa" w:w="60"/>
              <w:right w:type="dxa" w:w="90"/>
            </w:tcMar>
          </w:tcPr>
          <w:p>
            <w:pPr>
              <w:jc w:val="center"/>
            </w:pPr>
            <w:r>
              <w:rPr>
                <w:rFonts w:ascii="Calibri" w:cs="Calibri" w:eastAsia="Calibri" w:hAnsi="Calibri"/>
                <w:b w:val="false"/>
                <w:bCs w:val="false"/>
                <w:color w:val="475569"/>
                <w:sz w:val="16"/>
                <w:szCs w:val="16"/>
              </w:rPr>
              <w:t xml:space="preserve">~</w:t>
            </w:r>
          </w:p>
        </w:tc>
      </w:tr>
      <w:tr>
        <w:tc>
          <w:tcPr>
            <w:tcW w:type="dxa" w:w="1750"/>
            <w:shd w:fill="FFFFFF" w:val="clear"/>
            <w:tcMar>
              <w:top w:type="dxa" w:w="60"/>
              <w:left w:type="dxa" w:w="90"/>
              <w:bottom w:type="dxa" w:w="60"/>
              <w:right w:type="dxa" w:w="90"/>
            </w:tcMar>
          </w:tcPr>
          <w:p>
            <w:pPr>
              <w:jc w:val="left"/>
            </w:pPr>
            <w:r>
              <w:rPr>
                <w:rFonts w:ascii="Calibri" w:cs="Calibri" w:eastAsia="Calibri" w:hAnsi="Calibri"/>
                <w:b/>
                <w:bCs/>
                <w:color w:val="0F172A"/>
                <w:sz w:val="16"/>
                <w:szCs w:val="16"/>
              </w:rPr>
              <w:t xml:space="preserve">Personio</w:t>
            </w:r>
          </w:p>
        </w:tc>
        <w:tc>
          <w:tcPr>
            <w:tcW w:type="dxa" w:w="1750"/>
            <w:shd w:fill="FFFFFF" w:val="clear"/>
            <w:tcMar>
              <w:top w:type="dxa" w:w="60"/>
              <w:left w:type="dxa" w:w="90"/>
              <w:bottom w:type="dxa" w:w="60"/>
              <w:right w:type="dxa" w:w="90"/>
            </w:tcMar>
          </w:tcPr>
          <w:p>
            <w:pPr>
              <w:jc w:val="center"/>
            </w:pPr>
            <w:r>
              <w:rPr>
                <w:rFonts w:ascii="Calibri" w:cs="Calibri" w:eastAsia="Calibri" w:hAnsi="Calibri"/>
                <w:b w:val="false"/>
                <w:bCs w:val="false"/>
                <w:color w:val="475569"/>
                <w:sz w:val="16"/>
                <w:szCs w:val="16"/>
              </w:rPr>
              <w:t xml:space="preserve">DACH · HR suite</w:t>
            </w:r>
          </w:p>
        </w:tc>
        <w:tc>
          <w:tcPr>
            <w:tcW w:type="dxa" w:w="1750"/>
            <w:shd w:fill="FFFFFF" w:val="clear"/>
            <w:tcMar>
              <w:top w:type="dxa" w:w="60"/>
              <w:left w:type="dxa" w:w="90"/>
              <w:bottom w:type="dxa" w:w="60"/>
              <w:right w:type="dxa" w:w="90"/>
            </w:tcMar>
          </w:tcPr>
          <w:p>
            <w:pPr>
              <w:jc w:val="center"/>
            </w:pPr>
            <w:r>
              <w:rPr>
                <w:rFonts w:ascii="Calibri" w:cs="Calibri" w:eastAsia="Calibri" w:hAnsi="Calibri"/>
                <w:b w:val="false"/>
                <w:bCs w:val="false"/>
                <w:color w:val="475569"/>
                <w:sz w:val="16"/>
                <w:szCs w:val="16"/>
              </w:rPr>
              <w:t xml:space="preserve">✗</w:t>
            </w:r>
          </w:p>
        </w:tc>
        <w:tc>
          <w:tcPr>
            <w:tcW w:type="dxa" w:w="1750"/>
            <w:shd w:fill="FFFFFF" w:val="clear"/>
            <w:tcMar>
              <w:top w:type="dxa" w:w="60"/>
              <w:left w:type="dxa" w:w="90"/>
              <w:bottom w:type="dxa" w:w="60"/>
              <w:right w:type="dxa" w:w="90"/>
            </w:tcMar>
          </w:tcPr>
          <w:p>
            <w:pPr>
              <w:jc w:val="center"/>
            </w:pPr>
            <w:r>
              <w:rPr>
                <w:rFonts w:ascii="Calibri" w:cs="Calibri" w:eastAsia="Calibri" w:hAnsi="Calibri"/>
                <w:b w:val="false"/>
                <w:bCs w:val="false"/>
                <w:color w:val="475569"/>
                <w:sz w:val="16"/>
                <w:szCs w:val="16"/>
              </w:rPr>
              <w:t xml:space="preserve">✓</w:t>
            </w:r>
          </w:p>
        </w:tc>
        <w:tc>
          <w:tcPr>
            <w:tcW w:type="dxa" w:w="1750"/>
            <w:shd w:fill="FFFFFF" w:val="clear"/>
            <w:tcMar>
              <w:top w:type="dxa" w:w="60"/>
              <w:left w:type="dxa" w:w="90"/>
              <w:bottom w:type="dxa" w:w="60"/>
              <w:right w:type="dxa" w:w="90"/>
            </w:tcMar>
          </w:tcPr>
          <w:p>
            <w:pPr>
              <w:jc w:val="center"/>
            </w:pPr>
            <w:r>
              <w:rPr>
                <w:rFonts w:ascii="Calibri" w:cs="Calibri" w:eastAsia="Calibri" w:hAnsi="Calibri"/>
                <w:b w:val="false"/>
                <w:bCs w:val="false"/>
                <w:color w:val="475569"/>
                <w:sz w:val="16"/>
                <w:szCs w:val="16"/>
              </w:rPr>
              <w:t xml:space="preserve">✗</w:t>
            </w:r>
          </w:p>
        </w:tc>
        <w:tc>
          <w:tcPr>
            <w:tcW w:type="dxa" w:w="1750"/>
            <w:shd w:fill="FFFFFF" w:val="clear"/>
            <w:tcMar>
              <w:top w:type="dxa" w:w="60"/>
              <w:left w:type="dxa" w:w="90"/>
              <w:bottom w:type="dxa" w:w="60"/>
              <w:right w:type="dxa" w:w="90"/>
            </w:tcMar>
          </w:tcPr>
          <w:p>
            <w:pPr>
              <w:jc w:val="center"/>
            </w:pPr>
            <w:r>
              <w:rPr>
                <w:rFonts w:ascii="Calibri" w:cs="Calibri" w:eastAsia="Calibri" w:hAnsi="Calibri"/>
                <w:b w:val="false"/>
                <w:bCs w:val="false"/>
                <w:color w:val="475569"/>
                <w:sz w:val="16"/>
                <w:szCs w:val="16"/>
              </w:rPr>
              <w:t xml:space="preserve">✓</w:t>
            </w:r>
          </w:p>
        </w:tc>
        <w:tc>
          <w:tcPr>
            <w:tcW w:type="dxa" w:w="1750"/>
            <w:shd w:fill="FFFFFF" w:val="clear"/>
            <w:tcMar>
              <w:top w:type="dxa" w:w="60"/>
              <w:left w:type="dxa" w:w="90"/>
              <w:bottom w:type="dxa" w:w="60"/>
              <w:right w:type="dxa" w:w="90"/>
            </w:tcMar>
          </w:tcPr>
          <w:p>
            <w:pPr>
              <w:jc w:val="center"/>
            </w:pPr>
            <w:r>
              <w:rPr>
                <w:rFonts w:ascii="Calibri" w:cs="Calibri" w:eastAsia="Calibri" w:hAnsi="Calibri"/>
                <w:b w:val="false"/>
                <w:bCs w:val="false"/>
                <w:color w:val="475569"/>
                <w:sz w:val="16"/>
                <w:szCs w:val="16"/>
              </w:rPr>
              <w:t xml:space="preserve">✗</w:t>
            </w:r>
          </w:p>
        </w:tc>
        <w:tc>
          <w:tcPr>
            <w:tcW w:type="dxa" w:w="1750"/>
            <w:shd w:fill="FFFFFF" w:val="clear"/>
            <w:tcMar>
              <w:top w:type="dxa" w:w="60"/>
              <w:left w:type="dxa" w:w="90"/>
              <w:bottom w:type="dxa" w:w="60"/>
              <w:right w:type="dxa" w:w="90"/>
            </w:tcMar>
          </w:tcPr>
          <w:p>
            <w:pPr>
              <w:jc w:val="center"/>
            </w:pPr>
            <w:r>
              <w:rPr>
                <w:rFonts w:ascii="Calibri" w:cs="Calibri" w:eastAsia="Calibri" w:hAnsi="Calibri"/>
                <w:b w:val="false"/>
                <w:bCs w:val="false"/>
                <w:color w:val="475569"/>
                <w:sz w:val="16"/>
                <w:szCs w:val="16"/>
              </w:rPr>
              <w:t xml:space="preserve">~</w:t>
            </w:r>
          </w:p>
        </w:tc>
      </w:tr>
    </w:tbl>
    <w:p>
      <w:pPr>
        <w:spacing w:after="120" w:before="100"/>
      </w:pPr>
      <w:r>
        <w:rPr>
          <w:rFonts w:ascii="Calibri" w:cs="Calibri" w:eastAsia="Calibri" w:hAnsi="Calibri"/>
          <w:i/>
          <w:iCs/>
          <w:color w:val="94A3B8"/>
          <w:sz w:val="16"/>
          <w:szCs w:val="16"/>
        </w:rPr>
        <w:t xml:space="preserve">Legend:  ✓ yes / strong   ~ partial   – limited or paid tier   ✗ no.  Competitor details as reported by third-party comparison sites in 2026 and subject to change — verify before quoting exact figures.</w:t>
      </w:r>
    </w:p>
    <w:p>
      <w:pPr>
        <w:pStyle w:val="Heading1"/>
        <w:pBdr>
          <w:bottom w:val="single" w:color="E2E8F0" w:sz="8" w:space="6"/>
        </w:pBdr>
        <w:spacing w:after="140" w:before="360"/>
      </w:pPr>
      <w:r>
        <w:rPr>
          <w:rFonts w:ascii="Calibri" w:cs="Calibri" w:eastAsia="Calibri" w:hAnsi="Calibri"/>
          <w:b/>
          <w:bCs/>
          <w:color w:val="2563EB"/>
          <w:sz w:val="30"/>
          <w:szCs w:val="30"/>
        </w:rPr>
        <w:t xml:space="preserve">How LogSheet is positioned</w:t>
      </w:r>
    </w:p>
    <w:p>
      <w:pPr>
        <w:spacing w:after="140" w:line="276"/>
      </w:pPr>
      <w:r>
        <w:rPr>
          <w:rFonts w:ascii="Calibri" w:cs="Calibri" w:eastAsia="Calibri" w:hAnsi="Calibri"/>
          <w:color w:val="475569"/>
          <w:sz w:val="21"/>
          <w:szCs w:val="21"/>
        </w:rPr>
        <w:t xml:space="preserve">LogSheet’s distinctiveness is breadth for the specific Swiss SME workflow at zero entry cost. It is the rare tool that speaks "Swiss monthly timesheet" (target/actual, overtime carry-over, signature, cantonal holidays) and does client billing with CHF/VAT and gives managers an HR/accounting dashboard — in one simple app, free to start, in four languages. Generalist timers are simpler but not Swiss-statutory; ERPs and HR suites are more powerful but heavier, paid, and usually cover only one of these lanes well.</w:t>
      </w:r>
    </w:p>
    <w:p>
      <w:pPr>
        <w:pStyle w:val="Heading1"/>
        <w:pBdr>
          <w:bottom w:val="single" w:color="E2E8F0" w:sz="8" w:space="6"/>
        </w:pBdr>
        <w:spacing w:after="140" w:before="360"/>
      </w:pPr>
      <w:r>
        <w:rPr>
          <w:rFonts w:ascii="Calibri" w:cs="Calibri" w:eastAsia="Calibri" w:hAnsi="Calibri"/>
          <w:b/>
          <w:bCs/>
          <w:color w:val="2563EB"/>
          <w:sz w:val="30"/>
          <w:szCs w:val="30"/>
        </w:rPr>
        <w:t xml:space="preserve">Honest limitations</w:t>
      </w:r>
    </w:p>
    <w:p>
      <w:pPr>
        <w:pStyle w:val="ListParagraph"/>
        <w:numPr>
          <w:ilvl w:val="0"/>
          <w:numId w:val="2"/>
        </w:numPr>
        <w:spacing w:after="60" w:line="268"/>
      </w:pPr>
      <w:r>
        <w:rPr>
          <w:rFonts w:ascii="Calibri" w:cs="Calibri" w:eastAsia="Calibri" w:hAnsi="Calibri"/>
          <w:color w:val="475569"/>
          <w:sz w:val="21"/>
          <w:szCs w:val="21"/>
        </w:rPr>
        <w:t xml:space="preserve">No native mobile app yet — the app is browser-only.</w:t>
      </w:r>
    </w:p>
    <w:p>
      <w:pPr>
        <w:pStyle w:val="ListParagraph"/>
        <w:numPr>
          <w:ilvl w:val="0"/>
          <w:numId w:val="2"/>
        </w:numPr>
        <w:spacing w:after="60" w:line="268"/>
      </w:pPr>
      <w:r>
        <w:rPr>
          <w:rFonts w:ascii="Calibri" w:cs="Calibri" w:eastAsia="Calibri" w:hAnsi="Calibri"/>
          <w:color w:val="475569"/>
          <w:sz w:val="21"/>
          <w:szCs w:val="21"/>
        </w:rPr>
        <w:t xml:space="preserve">Newly launched — a smaller track record and ecosystem than Bexio, Clockify or Personio; fewer third-party integrations, with Excel export as the main bridge to payroll and accounting today.</w:t>
      </w:r>
    </w:p>
    <w:p>
      <w:pPr>
        <w:pStyle w:val="Heading1"/>
        <w:pBdr>
          <w:bottom w:val="single" w:color="E2E8F0" w:sz="8" w:space="6"/>
        </w:pBdr>
        <w:spacing w:after="140" w:before="360"/>
      </w:pPr>
      <w:r>
        <w:rPr>
          <w:rFonts w:ascii="Calibri" w:cs="Calibri" w:eastAsia="Calibri" w:hAnsi="Calibri"/>
          <w:b/>
          <w:bCs/>
          <w:color w:val="2563EB"/>
          <w:sz w:val="30"/>
          <w:szCs w:val="30"/>
        </w:rPr>
        <w:t xml:space="preserve">Facts at a glance</w:t>
      </w:r>
    </w:p>
    <w:tbl>
      <w:tblPr>
        <w:tblW w:type="dxa" w:w="9026"/>
        <w:tblBorders>
          <w:top w:val="single" w:color="E2E8F0" w:sz="2"/>
          <w:left w:val="none"/>
          <w:bottom w:val="single" w:color="E2E8F0" w:sz="2"/>
          <w:right w:val="none"/>
          <w:insideH w:val="single" w:color="E2E8F0" w:sz="2"/>
          <w:insideV w:val="none"/>
        </w:tblBorders>
      </w:tblPr>
      <w:tblGrid>
        <w:gridCol w:w="2400"/>
        <w:gridCol w:w="6626"/>
      </w:tblGrid>
      <w:tr>
        <w:tc>
          <w:tcPr>
            <w:tcW w:type="dxa" w:w="2400"/>
            <w:shd w:fill="FFFFFF" w:val="clear"/>
            <w:tcMar>
              <w:top w:type="dxa" w:w="80"/>
              <w:left w:type="dxa" w:w="120"/>
              <w:bottom w:type="dxa" w:w="80"/>
              <w:right w:type="dxa" w:w="120"/>
            </w:tcMar>
          </w:tcPr>
          <w:p>
            <w:r>
              <w:rPr>
                <w:rFonts w:ascii="Calibri" w:cs="Calibri" w:eastAsia="Calibri" w:hAnsi="Calibri"/>
                <w:b/>
                <w:bCs/>
                <w:color w:val="0F172A"/>
                <w:sz w:val="20"/>
                <w:szCs w:val="20"/>
              </w:rPr>
              <w:t xml:space="preserve">Product</w:t>
            </w:r>
          </w:p>
        </w:tc>
        <w:tc>
          <w:tcPr>
            <w:tcW w:type="dxa" w:w="6626"/>
            <w:shd w:fill="FFFFFF" w:val="clear"/>
            <w:tcMar>
              <w:top w:type="dxa" w:w="80"/>
              <w:left w:type="dxa" w:w="120"/>
              <w:bottom w:type="dxa" w:w="80"/>
              <w:right w:type="dxa" w:w="120"/>
            </w:tcMar>
          </w:tcPr>
          <w:p>
            <w:r>
              <w:rPr>
                <w:rFonts w:ascii="Calibri" w:cs="Calibri" w:eastAsia="Calibri" w:hAnsi="Calibri"/>
                <w:color w:val="475569"/>
                <w:sz w:val="20"/>
                <w:szCs w:val="20"/>
              </w:rPr>
              <w:t xml:space="preserve">Timesheet &amp; team management for SMEs</w:t>
            </w:r>
          </w:p>
        </w:tc>
      </w:tr>
      <w:tr>
        <w:tc>
          <w:tcPr>
            <w:tcW w:type="dxa" w:w="2400"/>
            <w:shd w:fill="F8FAFC" w:val="clear"/>
            <w:tcMar>
              <w:top w:type="dxa" w:w="80"/>
              <w:left w:type="dxa" w:w="120"/>
              <w:bottom w:type="dxa" w:w="80"/>
              <w:right w:type="dxa" w:w="120"/>
            </w:tcMar>
          </w:tcPr>
          <w:p>
            <w:r>
              <w:rPr>
                <w:rFonts w:ascii="Calibri" w:cs="Calibri" w:eastAsia="Calibri" w:hAnsi="Calibri"/>
                <w:b/>
                <w:bCs/>
                <w:color w:val="0F172A"/>
                <w:sz w:val="20"/>
                <w:szCs w:val="20"/>
              </w:rPr>
              <w:t xml:space="preserve">Web</w:t>
            </w:r>
          </w:p>
        </w:tc>
        <w:tc>
          <w:tcPr>
            <w:tcW w:type="dxa" w:w="6626"/>
            <w:shd w:fill="F8FAFC" w:val="clear"/>
            <w:tcMar>
              <w:top w:type="dxa" w:w="80"/>
              <w:left w:type="dxa" w:w="120"/>
              <w:bottom w:type="dxa" w:w="80"/>
              <w:right w:type="dxa" w:w="120"/>
            </w:tcMar>
          </w:tcPr>
          <w:p>
            <w:r>
              <w:rPr>
                <w:rFonts w:ascii="Calibri" w:cs="Calibri" w:eastAsia="Calibri" w:hAnsi="Calibri"/>
                <w:color w:val="475569"/>
                <w:sz w:val="20"/>
                <w:szCs w:val="20"/>
              </w:rPr>
              <w:t xml:space="preserve">logsheet.ch · sign-in at /login · register a company at /register/company</w:t>
            </w:r>
          </w:p>
        </w:tc>
      </w:tr>
      <w:tr>
        <w:tc>
          <w:tcPr>
            <w:tcW w:type="dxa" w:w="2400"/>
            <w:shd w:fill="FFFFFF" w:val="clear"/>
            <w:tcMar>
              <w:top w:type="dxa" w:w="80"/>
              <w:left w:type="dxa" w:w="120"/>
              <w:bottom w:type="dxa" w:w="80"/>
              <w:right w:type="dxa" w:w="120"/>
            </w:tcMar>
          </w:tcPr>
          <w:p>
            <w:r>
              <w:rPr>
                <w:rFonts w:ascii="Calibri" w:cs="Calibri" w:eastAsia="Calibri" w:hAnsi="Calibri"/>
                <w:b/>
                <w:bCs/>
                <w:color w:val="0F172A"/>
                <w:sz w:val="20"/>
                <w:szCs w:val="20"/>
              </w:rPr>
              <w:t xml:space="preserve">Markets</w:t>
            </w:r>
          </w:p>
        </w:tc>
        <w:tc>
          <w:tcPr>
            <w:tcW w:type="dxa" w:w="6626"/>
            <w:shd w:fill="FFFFFF" w:val="clear"/>
            <w:tcMar>
              <w:top w:type="dxa" w:w="80"/>
              <w:left w:type="dxa" w:w="120"/>
              <w:bottom w:type="dxa" w:w="80"/>
              <w:right w:type="dxa" w:w="120"/>
            </w:tcMar>
          </w:tcPr>
          <w:p>
            <w:r>
              <w:rPr>
                <w:rFonts w:ascii="Calibri" w:cs="Calibri" w:eastAsia="Calibri" w:hAnsi="Calibri"/>
                <w:color w:val="475569"/>
                <w:sz w:val="20"/>
                <w:szCs w:val="20"/>
              </w:rPr>
              <w:t xml:space="preserve">Switzerland first; holiday support for CH / DE / AT / FR / IT</w:t>
            </w:r>
          </w:p>
        </w:tc>
      </w:tr>
      <w:tr>
        <w:tc>
          <w:tcPr>
            <w:tcW w:type="dxa" w:w="2400"/>
            <w:shd w:fill="F8FAFC" w:val="clear"/>
            <w:tcMar>
              <w:top w:type="dxa" w:w="80"/>
              <w:left w:type="dxa" w:w="120"/>
              <w:bottom w:type="dxa" w:w="80"/>
              <w:right w:type="dxa" w:w="120"/>
            </w:tcMar>
          </w:tcPr>
          <w:p>
            <w:r>
              <w:rPr>
                <w:rFonts w:ascii="Calibri" w:cs="Calibri" w:eastAsia="Calibri" w:hAnsi="Calibri"/>
                <w:b/>
                <w:bCs/>
                <w:color w:val="0F172A"/>
                <w:sz w:val="20"/>
                <w:szCs w:val="20"/>
              </w:rPr>
              <w:t xml:space="preserve">Languages</w:t>
            </w:r>
          </w:p>
        </w:tc>
        <w:tc>
          <w:tcPr>
            <w:tcW w:type="dxa" w:w="6626"/>
            <w:shd w:fill="F8FAFC" w:val="clear"/>
            <w:tcMar>
              <w:top w:type="dxa" w:w="80"/>
              <w:left w:type="dxa" w:w="120"/>
              <w:bottom w:type="dxa" w:w="80"/>
              <w:right w:type="dxa" w:w="120"/>
            </w:tcMar>
          </w:tcPr>
          <w:p>
            <w:r>
              <w:rPr>
                <w:rFonts w:ascii="Calibri" w:cs="Calibri" w:eastAsia="Calibri" w:hAnsi="Calibri"/>
                <w:color w:val="475569"/>
                <w:sz w:val="20"/>
                <w:szCs w:val="20"/>
              </w:rPr>
              <w:t xml:space="preserve">English, Deutsch (CH), Français, Italiano</w:t>
            </w:r>
          </w:p>
        </w:tc>
      </w:tr>
      <w:tr>
        <w:tc>
          <w:tcPr>
            <w:tcW w:type="dxa" w:w="2400"/>
            <w:shd w:fill="FFFFFF" w:val="clear"/>
            <w:tcMar>
              <w:top w:type="dxa" w:w="80"/>
              <w:left w:type="dxa" w:w="120"/>
              <w:bottom w:type="dxa" w:w="80"/>
              <w:right w:type="dxa" w:w="120"/>
            </w:tcMar>
          </w:tcPr>
          <w:p>
            <w:r>
              <w:rPr>
                <w:rFonts w:ascii="Calibri" w:cs="Calibri" w:eastAsia="Calibri" w:hAnsi="Calibri"/>
                <w:b/>
                <w:bCs/>
                <w:color w:val="0F172A"/>
                <w:sz w:val="20"/>
                <w:szCs w:val="20"/>
              </w:rPr>
              <w:t xml:space="preserve">Hosting</w:t>
            </w:r>
          </w:p>
        </w:tc>
        <w:tc>
          <w:tcPr>
            <w:tcW w:type="dxa" w:w="6626"/>
            <w:shd w:fill="FFFFFF" w:val="clear"/>
            <w:tcMar>
              <w:top w:type="dxa" w:w="80"/>
              <w:left w:type="dxa" w:w="120"/>
              <w:bottom w:type="dxa" w:w="80"/>
              <w:right w:type="dxa" w:w="120"/>
            </w:tcMar>
          </w:tcPr>
          <w:p>
            <w:r>
              <w:rPr>
                <w:rFonts w:ascii="Calibri" w:cs="Calibri" w:eastAsia="Calibri" w:hAnsi="Calibri"/>
                <w:color w:val="475569"/>
                <w:sz w:val="20"/>
                <w:szCs w:val="20"/>
              </w:rPr>
              <w:t xml:space="preserve">Google Cloud (Firebase) · Zurich region (europe-west6) · Excel export anytime</w:t>
            </w:r>
          </w:p>
        </w:tc>
      </w:tr>
      <w:tr>
        <w:tc>
          <w:tcPr>
            <w:tcW w:type="dxa" w:w="2400"/>
            <w:shd w:fill="F8FAFC" w:val="clear"/>
            <w:tcMar>
              <w:top w:type="dxa" w:w="80"/>
              <w:left w:type="dxa" w:w="120"/>
              <w:bottom w:type="dxa" w:w="80"/>
              <w:right w:type="dxa" w:w="120"/>
            </w:tcMar>
          </w:tcPr>
          <w:p>
            <w:r>
              <w:rPr>
                <w:rFonts w:ascii="Calibri" w:cs="Calibri" w:eastAsia="Calibri" w:hAnsi="Calibri"/>
                <w:b/>
                <w:bCs/>
                <w:color w:val="0F172A"/>
                <w:sz w:val="20"/>
                <w:szCs w:val="20"/>
              </w:rPr>
              <w:t xml:space="preserve">Price</w:t>
            </w:r>
          </w:p>
        </w:tc>
        <w:tc>
          <w:tcPr>
            <w:tcW w:type="dxa" w:w="6626"/>
            <w:shd w:fill="F8FAFC" w:val="clear"/>
            <w:tcMar>
              <w:top w:type="dxa" w:w="80"/>
              <w:left w:type="dxa" w:w="120"/>
              <w:bottom w:type="dxa" w:w="80"/>
              <w:right w:type="dxa" w:w="120"/>
            </w:tcMar>
          </w:tcPr>
          <w:p>
            <w:r>
              <w:rPr>
                <w:rFonts w:ascii="Calibri" w:cs="Calibri" w:eastAsia="Calibri" w:hAnsi="Calibri"/>
                <w:color w:val="475569"/>
                <w:sz w:val="20"/>
                <w:szCs w:val="20"/>
              </w:rPr>
              <w:t xml:space="preserve">Free for companies registering in 2026 (no commitment)</w:t>
            </w:r>
          </w:p>
        </w:tc>
      </w:tr>
      <w:tr>
        <w:tc>
          <w:tcPr>
            <w:tcW w:type="dxa" w:w="2400"/>
            <w:shd w:fill="FFFFFF" w:val="clear"/>
            <w:tcMar>
              <w:top w:type="dxa" w:w="80"/>
              <w:left w:type="dxa" w:w="120"/>
              <w:bottom w:type="dxa" w:w="80"/>
              <w:right w:type="dxa" w:w="120"/>
            </w:tcMar>
          </w:tcPr>
          <w:p>
            <w:r>
              <w:rPr>
                <w:rFonts w:ascii="Calibri" w:cs="Calibri" w:eastAsia="Calibri" w:hAnsi="Calibri"/>
                <w:b/>
                <w:bCs/>
                <w:color w:val="0F172A"/>
                <w:sz w:val="20"/>
                <w:szCs w:val="20"/>
              </w:rPr>
              <w:t xml:space="preserve">Mobile</w:t>
            </w:r>
          </w:p>
        </w:tc>
        <w:tc>
          <w:tcPr>
            <w:tcW w:type="dxa" w:w="6626"/>
            <w:shd w:fill="FFFFFF" w:val="clear"/>
            <w:tcMar>
              <w:top w:type="dxa" w:w="80"/>
              <w:left w:type="dxa" w:w="120"/>
              <w:bottom w:type="dxa" w:w="80"/>
              <w:right w:type="dxa" w:w="120"/>
            </w:tcMar>
          </w:tcPr>
          <w:p>
            <w:r>
              <w:rPr>
                <w:rFonts w:ascii="Calibri" w:cs="Calibri" w:eastAsia="Calibri" w:hAnsi="Calibri"/>
                <w:color w:val="475569"/>
                <w:sz w:val="20"/>
                <w:szCs w:val="20"/>
              </w:rPr>
              <w:t xml:space="preserve">Browser-based; no native app yet</w:t>
            </w:r>
          </w:p>
        </w:tc>
      </w:tr>
    </w:tbl>
    <w:p>
      <w:pPr>
        <w:pStyle w:val="Heading1"/>
        <w:pBdr>
          <w:bottom w:val="single" w:color="E2E8F0" w:sz="8" w:space="6"/>
        </w:pBdr>
        <w:spacing w:after="140" w:before="360"/>
      </w:pPr>
      <w:r>
        <w:rPr>
          <w:rFonts w:ascii="Calibri" w:cs="Calibri" w:eastAsia="Calibri" w:hAnsi="Calibri"/>
          <w:b/>
          <w:bCs/>
          <w:color w:val="2563EB"/>
          <w:sz w:val="30"/>
          <w:szCs w:val="30"/>
        </w:rPr>
        <w:t xml:space="preserve">Press contact</w:t>
      </w:r>
    </w:p>
    <w:p>
      <w:pPr>
        <w:spacing w:after="120" w:line="276"/>
      </w:pPr>
      <w:r>
        <w:rPr>
          <w:rFonts w:ascii="Calibri" w:cs="Calibri" w:eastAsia="Calibri" w:hAnsi="Calibri"/>
          <w:b/>
          <w:bCs/>
          <w:color w:val="0F172A"/>
          <w:sz w:val="21"/>
          <w:szCs w:val="21"/>
        </w:rPr>
        <w:t xml:space="preserve">Company:  </w:t>
      </w:r>
      <w:r>
        <w:rPr>
          <w:rFonts w:ascii="Calibri" w:cs="Calibri" w:eastAsia="Calibri" w:hAnsi="Calibri"/>
          <w:color w:val="475569"/>
          <w:sz w:val="21"/>
          <w:szCs w:val="21"/>
        </w:rPr>
        <w:t xml:space="preserve">LogSheet — Ben Chaulet (sole proprietorship)</w:t>
      </w:r>
    </w:p>
    <w:p>
      <w:pPr>
        <w:spacing w:after="120" w:line="276"/>
      </w:pPr>
      <w:r>
        <w:rPr>
          <w:rFonts w:ascii="Calibri" w:cs="Calibri" w:eastAsia="Calibri" w:hAnsi="Calibri"/>
          <w:b/>
          <w:bCs/>
          <w:color w:val="0F172A"/>
          <w:sz w:val="21"/>
          <w:szCs w:val="21"/>
        </w:rPr>
        <w:t xml:space="preserve">Address:  </w:t>
      </w:r>
      <w:r>
        <w:rPr>
          <w:rFonts w:ascii="Calibri" w:cs="Calibri" w:eastAsia="Calibri" w:hAnsi="Calibri"/>
          <w:color w:val="475569"/>
          <w:sz w:val="21"/>
          <w:szCs w:val="21"/>
        </w:rPr>
        <w:t xml:space="preserve">Geissensteinring 30, 6005 Luzern, Switzerland</w:t>
      </w:r>
    </w:p>
    <w:p>
      <w:pPr>
        <w:spacing w:after="120" w:line="276"/>
      </w:pPr>
      <w:r>
        <w:rPr>
          <w:rFonts w:ascii="Calibri" w:cs="Calibri" w:eastAsia="Calibri" w:hAnsi="Calibri"/>
          <w:b/>
          <w:bCs/>
          <w:color w:val="0F172A"/>
          <w:sz w:val="21"/>
          <w:szCs w:val="21"/>
        </w:rPr>
        <w:t xml:space="preserve">Email:  </w:t>
      </w:r>
      <w:r>
        <w:rPr>
          <w:rFonts w:ascii="Calibri" w:cs="Calibri" w:eastAsia="Calibri" w:hAnsi="Calibri"/>
          <w:color w:val="475569"/>
          <w:sz w:val="21"/>
          <w:szCs w:val="21"/>
        </w:rPr>
        <w:t xml:space="preserve">info@logsheet.ch</w:t>
      </w:r>
    </w:p>
    <w:p>
      <w:pPr>
        <w:spacing w:after="120" w:line="276"/>
      </w:pPr>
      <w:r>
        <w:rPr>
          <w:rFonts w:ascii="Calibri" w:cs="Calibri" w:eastAsia="Calibri" w:hAnsi="Calibri"/>
          <w:b/>
          <w:bCs/>
          <w:color w:val="0F172A"/>
          <w:sz w:val="21"/>
          <w:szCs w:val="21"/>
        </w:rPr>
        <w:t xml:space="preserve">Web:  </w:t>
      </w:r>
      <w:r>
        <w:rPr>
          <w:rFonts w:ascii="Calibri" w:cs="Calibri" w:eastAsia="Calibri" w:hAnsi="Calibri"/>
          <w:color w:val="475569"/>
          <w:sz w:val="21"/>
          <w:szCs w:val="21"/>
        </w:rPr>
        <w:t xml:space="preserve">logsheet.ch</w:t>
      </w:r>
    </w:p>
    <w:p>
      <w:pPr>
        <w:spacing w:after="140" w:line="276"/>
      </w:pPr>
      <w:r>
        <w:rPr>
          <w:rFonts w:ascii="Calibri" w:cs="Calibri" w:eastAsia="Calibri" w:hAnsi="Calibri"/>
          <w:i/>
          <w:iCs/>
          <w:color w:val="475569"/>
          <w:sz w:val="21"/>
          <w:szCs w:val="21"/>
        </w:rPr>
        <w:t xml:space="preserve">The LogSheet team is happy to answer questions, provide screenshots or arrange a demo.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00"/>
      </w:pPr>
      <w:rPr>
        <w:color w:val="2563EB"/>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475569"/>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LogSheet — Press Kit</dc:title>
  <dc:creator>LogSheet</dc:creator>
  <dc:description>Press fact sheet &amp; product presentation</dc:description>
  <cp:lastModifiedBy>Un-named</cp:lastModifiedBy>
  <cp:revision>1</cp:revision>
  <dcterms:created xsi:type="dcterms:W3CDTF">2026-07-08T12:40:25.471Z</dcterms:created>
  <dcterms:modified xsi:type="dcterms:W3CDTF">2026-07-08T12:40:25.477Z</dcterms:modified>
</cp:coreProperties>
</file>

<file path=docProps/custom.xml><?xml version="1.0" encoding="utf-8"?>
<Properties xmlns="http://schemas.openxmlformats.org/officeDocument/2006/custom-properties" xmlns:vt="http://schemas.openxmlformats.org/officeDocument/2006/docPropsVTypes"/>
</file>